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C8E2" w14:textId="34B2BC0C" w:rsidR="003839A0" w:rsidRPr="003839A0" w:rsidRDefault="00996156" w:rsidP="00465888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br/>
      </w:r>
      <w:r w:rsidR="000F054D" w:rsidRPr="00A405C4">
        <w:rPr>
          <w:rFonts w:asciiTheme="minorHAnsi" w:hAnsiTheme="minorHAnsi"/>
          <w:sz w:val="22"/>
          <w:szCs w:val="22"/>
        </w:rPr>
        <w:t xml:space="preserve">La Commission nationale des bourses scolaires (CNB) s’est réunie à Paris les </w:t>
      </w:r>
      <w:r w:rsidR="00F547C2">
        <w:rPr>
          <w:rFonts w:asciiTheme="minorHAnsi" w:hAnsiTheme="minorHAnsi"/>
          <w:sz w:val="22"/>
          <w:szCs w:val="22"/>
        </w:rPr>
        <w:t>1</w:t>
      </w:r>
      <w:r w:rsidR="003839A0">
        <w:rPr>
          <w:rFonts w:asciiTheme="minorHAnsi" w:hAnsiTheme="minorHAnsi"/>
          <w:sz w:val="22"/>
          <w:szCs w:val="22"/>
        </w:rPr>
        <w:t>2</w:t>
      </w:r>
      <w:r w:rsidR="000F054D" w:rsidRPr="00A405C4">
        <w:rPr>
          <w:rFonts w:asciiTheme="minorHAnsi" w:hAnsiTheme="minorHAnsi"/>
          <w:sz w:val="22"/>
          <w:szCs w:val="22"/>
        </w:rPr>
        <w:t xml:space="preserve"> et </w:t>
      </w:r>
      <w:r w:rsidR="00F547C2">
        <w:rPr>
          <w:rFonts w:asciiTheme="minorHAnsi" w:hAnsiTheme="minorHAnsi"/>
          <w:sz w:val="22"/>
          <w:szCs w:val="22"/>
        </w:rPr>
        <w:t>1</w:t>
      </w:r>
      <w:r w:rsidR="003839A0">
        <w:rPr>
          <w:rFonts w:asciiTheme="minorHAnsi" w:hAnsiTheme="minorHAnsi"/>
          <w:sz w:val="22"/>
          <w:szCs w:val="22"/>
        </w:rPr>
        <w:t>3</w:t>
      </w:r>
      <w:r w:rsidR="000F054D" w:rsidRPr="00A405C4">
        <w:rPr>
          <w:rFonts w:asciiTheme="minorHAnsi" w:hAnsiTheme="minorHAnsi"/>
          <w:sz w:val="22"/>
          <w:szCs w:val="22"/>
        </w:rPr>
        <w:t xml:space="preserve"> juin 201</w:t>
      </w:r>
      <w:r w:rsidR="003839A0">
        <w:rPr>
          <w:rFonts w:asciiTheme="minorHAnsi" w:hAnsiTheme="minorHAnsi"/>
          <w:sz w:val="22"/>
          <w:szCs w:val="22"/>
        </w:rPr>
        <w:t>9</w:t>
      </w:r>
      <w:r w:rsidR="000F054D" w:rsidRPr="00A405C4">
        <w:rPr>
          <w:rFonts w:asciiTheme="minorHAnsi" w:hAnsiTheme="minorHAnsi"/>
          <w:sz w:val="22"/>
          <w:szCs w:val="22"/>
        </w:rPr>
        <w:t xml:space="preserve"> sous la présidence de M.</w:t>
      </w:r>
      <w:r w:rsidR="007550D2">
        <w:rPr>
          <w:rFonts w:asciiTheme="minorHAnsi" w:hAnsiTheme="minorHAnsi"/>
          <w:sz w:val="22"/>
          <w:szCs w:val="22"/>
        </w:rPr>
        <w:t xml:space="preserve"> </w:t>
      </w:r>
      <w:r w:rsidR="00465888">
        <w:rPr>
          <w:rFonts w:asciiTheme="minorHAnsi" w:hAnsiTheme="minorHAnsi"/>
          <w:sz w:val="22"/>
          <w:szCs w:val="22"/>
        </w:rPr>
        <w:t>Olivier Brochet</w:t>
      </w:r>
      <w:r w:rsidR="000F054D" w:rsidRPr="00A405C4">
        <w:rPr>
          <w:rFonts w:asciiTheme="minorHAnsi" w:hAnsiTheme="minorHAnsi"/>
          <w:sz w:val="22"/>
          <w:szCs w:val="22"/>
        </w:rPr>
        <w:t>, Directeur de l’Agence pour l’Enseignement français à l</w:t>
      </w:r>
      <w:r w:rsidR="00897F7E">
        <w:rPr>
          <w:rFonts w:asciiTheme="minorHAnsi" w:hAnsiTheme="minorHAnsi"/>
          <w:sz w:val="22"/>
          <w:szCs w:val="22"/>
        </w:rPr>
        <w:t>’Etranger (AEFE)</w:t>
      </w:r>
      <w:r w:rsidR="00465888">
        <w:rPr>
          <w:rFonts w:asciiTheme="minorHAnsi" w:hAnsiTheme="minorHAnsi"/>
          <w:sz w:val="22"/>
          <w:szCs w:val="22"/>
        </w:rPr>
        <w:t>,</w:t>
      </w:r>
      <w:r w:rsidR="00897F7E">
        <w:rPr>
          <w:rFonts w:asciiTheme="minorHAnsi" w:hAnsiTheme="minorHAnsi"/>
          <w:sz w:val="22"/>
          <w:szCs w:val="22"/>
        </w:rPr>
        <w:t xml:space="preserve"> en présence </w:t>
      </w:r>
      <w:r w:rsidR="00AA458C" w:rsidRPr="003839A0">
        <w:rPr>
          <w:rFonts w:asciiTheme="minorHAnsi" w:hAnsiTheme="minorHAnsi"/>
          <w:sz w:val="22"/>
          <w:szCs w:val="22"/>
        </w:rPr>
        <w:t xml:space="preserve">de </w:t>
      </w:r>
      <w:r w:rsidR="007550D2">
        <w:rPr>
          <w:rFonts w:asciiTheme="minorHAnsi" w:hAnsiTheme="minorHAnsi"/>
          <w:sz w:val="22"/>
          <w:szCs w:val="22"/>
        </w:rPr>
        <w:t xml:space="preserve">M. Jean-Claude </w:t>
      </w:r>
      <w:proofErr w:type="spellStart"/>
      <w:r w:rsidR="007550D2">
        <w:rPr>
          <w:rFonts w:asciiTheme="minorHAnsi" w:hAnsiTheme="minorHAnsi"/>
          <w:sz w:val="22"/>
          <w:szCs w:val="22"/>
        </w:rPr>
        <w:t>Marfaing</w:t>
      </w:r>
      <w:proofErr w:type="spellEnd"/>
      <w:r w:rsidR="00367FF3" w:rsidRPr="00367FF3">
        <w:rPr>
          <w:rFonts w:asciiTheme="minorHAnsi" w:hAnsiTheme="minorHAnsi"/>
          <w:sz w:val="22"/>
          <w:szCs w:val="22"/>
        </w:rPr>
        <w:t xml:space="preserve"> </w:t>
      </w:r>
      <w:r w:rsidR="00AA458C">
        <w:rPr>
          <w:rFonts w:asciiTheme="minorHAnsi" w:hAnsiTheme="minorHAnsi"/>
          <w:sz w:val="22"/>
          <w:szCs w:val="22"/>
        </w:rPr>
        <w:t>(DFAE)</w:t>
      </w:r>
      <w:r w:rsidR="00367FF3" w:rsidRPr="00367FF3">
        <w:rPr>
          <w:rFonts w:asciiTheme="minorHAnsi" w:hAnsiTheme="minorHAnsi"/>
          <w:sz w:val="22"/>
          <w:szCs w:val="22"/>
        </w:rPr>
        <w:t>,</w:t>
      </w:r>
      <w:r w:rsidR="003839A0" w:rsidRPr="003839A0">
        <w:t xml:space="preserve"> </w:t>
      </w:r>
      <w:r w:rsidR="003839A0" w:rsidRPr="003839A0">
        <w:rPr>
          <w:rFonts w:asciiTheme="minorHAnsi" w:hAnsiTheme="minorHAnsi"/>
          <w:sz w:val="22"/>
          <w:szCs w:val="22"/>
        </w:rPr>
        <w:t>de</w:t>
      </w:r>
      <w:r w:rsidR="003839A0">
        <w:t xml:space="preserve"> </w:t>
      </w:r>
      <w:r w:rsidR="003839A0" w:rsidRPr="003839A0">
        <w:rPr>
          <w:rFonts w:asciiTheme="minorHAnsi" w:hAnsiTheme="minorHAnsi"/>
          <w:color w:val="000000"/>
          <w:sz w:val="22"/>
          <w:szCs w:val="22"/>
        </w:rPr>
        <w:t xml:space="preserve">Mme </w:t>
      </w:r>
      <w:proofErr w:type="spellStart"/>
      <w:r w:rsidR="003839A0" w:rsidRPr="003839A0">
        <w:rPr>
          <w:rFonts w:asciiTheme="minorHAnsi" w:hAnsiTheme="minorHAnsi"/>
          <w:color w:val="000000"/>
          <w:sz w:val="22"/>
          <w:szCs w:val="22"/>
        </w:rPr>
        <w:t>Szymankiewicz</w:t>
      </w:r>
      <w:proofErr w:type="spellEnd"/>
      <w:r w:rsidR="003839A0" w:rsidRPr="003839A0">
        <w:rPr>
          <w:rFonts w:asciiTheme="minorHAnsi" w:hAnsiTheme="minorHAnsi"/>
          <w:color w:val="000000"/>
          <w:sz w:val="22"/>
          <w:szCs w:val="22"/>
        </w:rPr>
        <w:t xml:space="preserve"> et M. Paul </w:t>
      </w:r>
      <w:proofErr w:type="spellStart"/>
      <w:r w:rsidR="003839A0" w:rsidRPr="003839A0">
        <w:rPr>
          <w:rFonts w:asciiTheme="minorHAnsi" w:hAnsiTheme="minorHAnsi"/>
          <w:color w:val="000000"/>
          <w:sz w:val="22"/>
          <w:szCs w:val="22"/>
        </w:rPr>
        <w:t>Raucy</w:t>
      </w:r>
      <w:proofErr w:type="spellEnd"/>
      <w:r w:rsidR="003839A0" w:rsidRPr="003839A0">
        <w:rPr>
          <w:rFonts w:asciiTheme="minorHAnsi" w:hAnsiTheme="minorHAnsi"/>
          <w:color w:val="000000"/>
          <w:sz w:val="22"/>
          <w:szCs w:val="22"/>
        </w:rPr>
        <w:t>, Inspecteurs Gé</w:t>
      </w:r>
      <w:r w:rsidR="007550D2">
        <w:rPr>
          <w:rFonts w:asciiTheme="minorHAnsi" w:hAnsiTheme="minorHAnsi"/>
          <w:color w:val="000000"/>
          <w:sz w:val="22"/>
          <w:szCs w:val="22"/>
        </w:rPr>
        <w:t>néraux de l’Education Nationale.</w:t>
      </w:r>
    </w:p>
    <w:p w14:paraId="5A7BE092" w14:textId="1BD8FAD6" w:rsidR="00367FF3" w:rsidRPr="00465888" w:rsidRDefault="00367FF3" w:rsidP="00465888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5D6319D4" w14:textId="0A7C6D44" w:rsidR="000F054D" w:rsidRPr="00A405C4" w:rsidRDefault="000F054D" w:rsidP="00465888">
      <w:pPr>
        <w:jc w:val="both"/>
        <w:rPr>
          <w:rFonts w:asciiTheme="minorHAnsi" w:hAnsiTheme="minorHAnsi"/>
          <w:sz w:val="22"/>
          <w:szCs w:val="22"/>
        </w:rPr>
      </w:pPr>
      <w:r w:rsidRPr="00A405C4">
        <w:rPr>
          <w:rFonts w:asciiTheme="minorHAnsi" w:hAnsiTheme="minorHAnsi"/>
          <w:sz w:val="22"/>
          <w:szCs w:val="22"/>
        </w:rPr>
        <w:t>Français du Monde-ADFE était représenté par Michèle Bloch</w:t>
      </w:r>
      <w:r w:rsidR="003839A0">
        <w:rPr>
          <w:rFonts w:asciiTheme="minorHAnsi" w:hAnsiTheme="minorHAnsi"/>
          <w:sz w:val="22"/>
          <w:szCs w:val="22"/>
        </w:rPr>
        <w:t xml:space="preserve">, </w:t>
      </w:r>
      <w:r w:rsidRPr="00A405C4">
        <w:rPr>
          <w:rFonts w:asciiTheme="minorHAnsi" w:hAnsiTheme="minorHAnsi"/>
          <w:sz w:val="22"/>
          <w:szCs w:val="22"/>
        </w:rPr>
        <w:t xml:space="preserve">Philippe </w:t>
      </w:r>
      <w:proofErr w:type="spellStart"/>
      <w:r w:rsidRPr="00A405C4">
        <w:rPr>
          <w:rFonts w:asciiTheme="minorHAnsi" w:hAnsiTheme="minorHAnsi"/>
          <w:sz w:val="22"/>
          <w:szCs w:val="22"/>
        </w:rPr>
        <w:t>Loiseau</w:t>
      </w:r>
      <w:proofErr w:type="spellEnd"/>
      <w:r w:rsidRPr="00A405C4">
        <w:rPr>
          <w:rFonts w:asciiTheme="minorHAnsi" w:hAnsiTheme="minorHAnsi"/>
          <w:sz w:val="22"/>
          <w:szCs w:val="22"/>
        </w:rPr>
        <w:t xml:space="preserve"> représentait le groupe Français du monde-solidarité écologie à l’AFE. </w:t>
      </w:r>
    </w:p>
    <w:p w14:paraId="3DE2BD39" w14:textId="77777777" w:rsidR="000F054D" w:rsidRPr="003B2A7D" w:rsidRDefault="000F054D" w:rsidP="004C5C50">
      <w:pPr>
        <w:jc w:val="both"/>
        <w:rPr>
          <w:rFonts w:asciiTheme="minorHAnsi" w:hAnsiTheme="minorHAnsi"/>
          <w:sz w:val="24"/>
          <w:szCs w:val="24"/>
        </w:rPr>
      </w:pPr>
    </w:p>
    <w:p w14:paraId="3E81FA11" w14:textId="017AD5C8" w:rsidR="000F054D" w:rsidRPr="009E0604" w:rsidRDefault="000F054D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Theme="minorHAnsi" w:hAnsiTheme="minorHAnsi"/>
          <w:b/>
          <w:color w:val="0070C0"/>
          <w:szCs w:val="24"/>
        </w:rPr>
      </w:pPr>
      <w:r w:rsidRPr="009E0604">
        <w:rPr>
          <w:rFonts w:asciiTheme="minorHAnsi" w:hAnsiTheme="minorHAnsi"/>
          <w:b/>
          <w:color w:val="0070C0"/>
          <w:szCs w:val="24"/>
        </w:rPr>
        <w:t>Bilan définitif 201</w:t>
      </w:r>
      <w:r w:rsidR="003839A0" w:rsidRPr="009E0604">
        <w:rPr>
          <w:rFonts w:asciiTheme="minorHAnsi" w:hAnsiTheme="minorHAnsi"/>
          <w:b/>
          <w:color w:val="0070C0"/>
          <w:szCs w:val="24"/>
        </w:rPr>
        <w:t>8</w:t>
      </w:r>
      <w:r w:rsidRPr="009E0604">
        <w:rPr>
          <w:rFonts w:asciiTheme="minorHAnsi" w:hAnsiTheme="minorHAnsi"/>
          <w:b/>
          <w:color w:val="0070C0"/>
          <w:szCs w:val="24"/>
        </w:rPr>
        <w:t xml:space="preserve"> du rythme sud </w:t>
      </w:r>
    </w:p>
    <w:p w14:paraId="1B632729" w14:textId="766EB1CA" w:rsidR="000F054D" w:rsidRPr="009E0604" w:rsidRDefault="000F054D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Theme="minorHAnsi" w:hAnsiTheme="minorHAnsi"/>
          <w:b/>
          <w:color w:val="0070C0"/>
          <w:szCs w:val="24"/>
        </w:rPr>
      </w:pPr>
      <w:proofErr w:type="gramStart"/>
      <w:r w:rsidRPr="009E0604">
        <w:rPr>
          <w:rFonts w:asciiTheme="minorHAnsi" w:hAnsiTheme="minorHAnsi"/>
          <w:b/>
          <w:color w:val="0070C0"/>
          <w:szCs w:val="24"/>
        </w:rPr>
        <w:t>et</w:t>
      </w:r>
      <w:proofErr w:type="gramEnd"/>
      <w:r w:rsidRPr="009E0604">
        <w:rPr>
          <w:rFonts w:asciiTheme="minorHAnsi" w:hAnsiTheme="minorHAnsi"/>
          <w:b/>
          <w:color w:val="0070C0"/>
          <w:szCs w:val="24"/>
        </w:rPr>
        <w:t xml:space="preserve"> quasi-définitif 201</w:t>
      </w:r>
      <w:r w:rsidR="003839A0" w:rsidRPr="009E0604">
        <w:rPr>
          <w:rFonts w:asciiTheme="minorHAnsi" w:hAnsiTheme="minorHAnsi"/>
          <w:b/>
          <w:color w:val="0070C0"/>
          <w:szCs w:val="24"/>
        </w:rPr>
        <w:t>8</w:t>
      </w:r>
      <w:r w:rsidRPr="009E0604">
        <w:rPr>
          <w:rFonts w:asciiTheme="minorHAnsi" w:hAnsiTheme="minorHAnsi"/>
          <w:b/>
          <w:color w:val="0070C0"/>
          <w:szCs w:val="24"/>
        </w:rPr>
        <w:t>/201</w:t>
      </w:r>
      <w:r w:rsidR="003839A0" w:rsidRPr="009E0604">
        <w:rPr>
          <w:rFonts w:asciiTheme="minorHAnsi" w:hAnsiTheme="minorHAnsi"/>
          <w:b/>
          <w:color w:val="0070C0"/>
          <w:szCs w:val="24"/>
        </w:rPr>
        <w:t>9</w:t>
      </w:r>
      <w:r w:rsidRPr="009E0604">
        <w:rPr>
          <w:rFonts w:asciiTheme="minorHAnsi" w:hAnsiTheme="minorHAnsi"/>
          <w:b/>
          <w:color w:val="0070C0"/>
          <w:szCs w:val="24"/>
        </w:rPr>
        <w:t xml:space="preserve"> du rythme nord</w:t>
      </w:r>
      <w:r w:rsidR="00897F7E" w:rsidRPr="009E0604">
        <w:rPr>
          <w:rFonts w:asciiTheme="minorHAnsi" w:hAnsiTheme="minorHAnsi"/>
          <w:b/>
          <w:color w:val="0070C0"/>
          <w:szCs w:val="24"/>
        </w:rPr>
        <w:t xml:space="preserve">  </w:t>
      </w:r>
    </w:p>
    <w:p w14:paraId="45E20039" w14:textId="77777777" w:rsidR="000F054D" w:rsidRPr="003B2A7D" w:rsidRDefault="000F054D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F79646" w:themeColor="accent6"/>
          <w:sz w:val="14"/>
          <w:szCs w:val="14"/>
        </w:rPr>
      </w:pPr>
    </w:p>
    <w:p w14:paraId="0A2F6A9E" w14:textId="5B942BA5" w:rsidR="00C16CDB" w:rsidRDefault="000F054D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A405C4">
        <w:rPr>
          <w:rFonts w:asciiTheme="minorHAnsi" w:hAnsiTheme="minorHAnsi"/>
          <w:sz w:val="22"/>
          <w:szCs w:val="22"/>
        </w:rPr>
        <w:t xml:space="preserve">Nombre de boursiers : </w:t>
      </w:r>
      <w:r w:rsidR="003839A0">
        <w:rPr>
          <w:rFonts w:asciiTheme="minorHAnsi" w:hAnsiTheme="minorHAnsi"/>
          <w:sz w:val="22"/>
          <w:szCs w:val="22"/>
        </w:rPr>
        <w:t>24 664</w:t>
      </w:r>
      <w:r w:rsidR="00897F7E">
        <w:rPr>
          <w:rFonts w:asciiTheme="minorHAnsi" w:hAnsiTheme="minorHAnsi"/>
          <w:sz w:val="22"/>
          <w:szCs w:val="22"/>
        </w:rPr>
        <w:t xml:space="preserve"> </w:t>
      </w:r>
      <w:r w:rsidR="008E1477" w:rsidRPr="002F223B">
        <w:rPr>
          <w:rFonts w:asciiTheme="minorHAnsi" w:hAnsiTheme="minorHAnsi"/>
          <w:sz w:val="22"/>
          <w:szCs w:val="22"/>
        </w:rPr>
        <w:t>(</w:t>
      </w:r>
      <w:r w:rsidRPr="00A405C4">
        <w:rPr>
          <w:rFonts w:asciiTheme="minorHAnsi" w:hAnsiTheme="minorHAnsi"/>
          <w:sz w:val="22"/>
          <w:szCs w:val="22"/>
        </w:rPr>
        <w:t>2</w:t>
      </w:r>
      <w:r w:rsidR="00897F7E">
        <w:rPr>
          <w:rFonts w:asciiTheme="minorHAnsi" w:hAnsiTheme="minorHAnsi"/>
          <w:sz w:val="22"/>
          <w:szCs w:val="22"/>
        </w:rPr>
        <w:t>0,</w:t>
      </w:r>
      <w:r w:rsidR="003839A0">
        <w:rPr>
          <w:rFonts w:asciiTheme="minorHAnsi" w:hAnsiTheme="minorHAnsi"/>
          <w:sz w:val="22"/>
          <w:szCs w:val="22"/>
        </w:rPr>
        <w:t>72</w:t>
      </w:r>
      <w:r w:rsidRPr="00A405C4">
        <w:rPr>
          <w:rFonts w:asciiTheme="minorHAnsi" w:hAnsiTheme="minorHAnsi"/>
          <w:sz w:val="22"/>
          <w:szCs w:val="22"/>
        </w:rPr>
        <w:t xml:space="preserve">% des élèves </w:t>
      </w:r>
      <w:r w:rsidR="007550D2">
        <w:rPr>
          <w:rFonts w:asciiTheme="minorHAnsi" w:hAnsiTheme="minorHAnsi"/>
          <w:sz w:val="22"/>
          <w:szCs w:val="22"/>
        </w:rPr>
        <w:t>f</w:t>
      </w:r>
      <w:r w:rsidRPr="00A405C4">
        <w:rPr>
          <w:rFonts w:asciiTheme="minorHAnsi" w:hAnsiTheme="minorHAnsi"/>
          <w:sz w:val="22"/>
          <w:szCs w:val="22"/>
        </w:rPr>
        <w:t xml:space="preserve">rançais)  </w:t>
      </w:r>
    </w:p>
    <w:p w14:paraId="5819F60E" w14:textId="09742585" w:rsidR="00C16CDB" w:rsidRDefault="000F054D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A405C4">
        <w:rPr>
          <w:rFonts w:asciiTheme="minorHAnsi" w:hAnsiTheme="minorHAnsi"/>
          <w:sz w:val="22"/>
          <w:szCs w:val="22"/>
        </w:rPr>
        <w:t xml:space="preserve">Montant des attributions : </w:t>
      </w:r>
      <w:r w:rsidR="003839A0">
        <w:rPr>
          <w:rFonts w:asciiTheme="minorHAnsi" w:hAnsiTheme="minorHAnsi"/>
          <w:sz w:val="22"/>
          <w:szCs w:val="22"/>
        </w:rPr>
        <w:t>102,86</w:t>
      </w:r>
      <w:r w:rsidRPr="00A405C4">
        <w:rPr>
          <w:rFonts w:asciiTheme="minorHAnsi" w:hAnsiTheme="minorHAnsi"/>
          <w:sz w:val="22"/>
          <w:szCs w:val="22"/>
        </w:rPr>
        <w:t xml:space="preserve"> M€ </w:t>
      </w:r>
      <w:r w:rsidR="00465888">
        <w:rPr>
          <w:rFonts w:asciiTheme="minorHAnsi" w:hAnsiTheme="minorHAnsi"/>
          <w:sz w:val="22"/>
          <w:szCs w:val="22"/>
        </w:rPr>
        <w:t>(</w:t>
      </w:r>
      <w:r w:rsidR="003839A0">
        <w:rPr>
          <w:rFonts w:asciiTheme="minorHAnsi" w:hAnsiTheme="minorHAnsi"/>
          <w:sz w:val="22"/>
          <w:szCs w:val="22"/>
        </w:rPr>
        <w:t>- 0,25</w:t>
      </w:r>
      <w:r w:rsidR="00C16CDB">
        <w:rPr>
          <w:rFonts w:asciiTheme="minorHAnsi" w:hAnsiTheme="minorHAnsi"/>
          <w:sz w:val="22"/>
          <w:szCs w:val="22"/>
        </w:rPr>
        <w:t>%</w:t>
      </w:r>
      <w:r w:rsidR="003839A0">
        <w:rPr>
          <w:rFonts w:asciiTheme="minorHAnsi" w:hAnsiTheme="minorHAnsi"/>
          <w:sz w:val="22"/>
          <w:szCs w:val="22"/>
        </w:rPr>
        <w:t xml:space="preserve"> en partie due à un euro fort</w:t>
      </w:r>
      <w:r w:rsidR="00C16CDB">
        <w:rPr>
          <w:rFonts w:asciiTheme="minorHAnsi" w:hAnsiTheme="minorHAnsi"/>
          <w:sz w:val="22"/>
          <w:szCs w:val="22"/>
        </w:rPr>
        <w:t>)</w:t>
      </w:r>
    </w:p>
    <w:p w14:paraId="77015BF0" w14:textId="77777777" w:rsidR="00897F7E" w:rsidRPr="00891422" w:rsidRDefault="00897F7E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2"/>
          <w:szCs w:val="12"/>
        </w:rPr>
      </w:pPr>
    </w:p>
    <w:p w14:paraId="0A30F2C3" w14:textId="77777777" w:rsidR="000F054D" w:rsidRPr="003B2A7D" w:rsidRDefault="000F054D" w:rsidP="004C5C50">
      <w:pPr>
        <w:jc w:val="both"/>
        <w:rPr>
          <w:rFonts w:asciiTheme="minorHAnsi" w:hAnsiTheme="minorHAnsi"/>
          <w:sz w:val="36"/>
          <w:szCs w:val="36"/>
        </w:rPr>
      </w:pPr>
    </w:p>
    <w:p w14:paraId="12DDDDF6" w14:textId="77777777" w:rsidR="000F054D" w:rsidRPr="00C76733" w:rsidRDefault="000F054D" w:rsidP="00C76733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26"/>
          <w:szCs w:val="26"/>
        </w:rPr>
      </w:pPr>
      <w:r w:rsidRPr="00C76733">
        <w:rPr>
          <w:rFonts w:asciiTheme="minorHAnsi" w:hAnsiTheme="minorHAnsi"/>
          <w:b/>
          <w:sz w:val="26"/>
          <w:szCs w:val="26"/>
        </w:rPr>
        <w:t>Campagne en cours</w:t>
      </w:r>
    </w:p>
    <w:p w14:paraId="6498E5E8" w14:textId="433DA749" w:rsidR="00C16CDB" w:rsidRPr="004322A8" w:rsidRDefault="000F054D" w:rsidP="004C5C50">
      <w:pPr>
        <w:jc w:val="center"/>
        <w:rPr>
          <w:rFonts w:asciiTheme="minorHAnsi" w:hAnsiTheme="minorHAnsi"/>
          <w:b/>
          <w:sz w:val="24"/>
          <w:szCs w:val="24"/>
        </w:rPr>
      </w:pPr>
      <w:r w:rsidRPr="004322A8">
        <w:rPr>
          <w:rFonts w:asciiTheme="minorHAnsi" w:hAnsiTheme="minorHAnsi"/>
          <w:b/>
          <w:sz w:val="24"/>
          <w:szCs w:val="24"/>
        </w:rPr>
        <w:t>2ème CNB 201</w:t>
      </w:r>
      <w:r w:rsidR="003839A0">
        <w:rPr>
          <w:rFonts w:asciiTheme="minorHAnsi" w:hAnsiTheme="minorHAnsi"/>
          <w:b/>
          <w:sz w:val="24"/>
          <w:szCs w:val="24"/>
        </w:rPr>
        <w:t>9</w:t>
      </w:r>
      <w:r w:rsidRPr="004322A8">
        <w:rPr>
          <w:rFonts w:asciiTheme="minorHAnsi" w:hAnsiTheme="minorHAnsi"/>
          <w:b/>
          <w:sz w:val="24"/>
          <w:szCs w:val="24"/>
        </w:rPr>
        <w:t xml:space="preserve"> rythme sud</w:t>
      </w:r>
      <w:r w:rsidR="00C16CDB" w:rsidRPr="004322A8">
        <w:rPr>
          <w:rFonts w:asciiTheme="minorHAnsi" w:hAnsiTheme="minorHAnsi"/>
          <w:b/>
          <w:sz w:val="24"/>
          <w:szCs w:val="24"/>
        </w:rPr>
        <w:t xml:space="preserve"> et 1ère CNB  201</w:t>
      </w:r>
      <w:r w:rsidR="003839A0">
        <w:rPr>
          <w:rFonts w:asciiTheme="minorHAnsi" w:hAnsiTheme="minorHAnsi"/>
          <w:b/>
          <w:sz w:val="24"/>
          <w:szCs w:val="24"/>
        </w:rPr>
        <w:t>9</w:t>
      </w:r>
      <w:r w:rsidR="00C16CDB" w:rsidRPr="004322A8">
        <w:rPr>
          <w:rFonts w:asciiTheme="minorHAnsi" w:hAnsiTheme="minorHAnsi"/>
          <w:b/>
          <w:sz w:val="24"/>
          <w:szCs w:val="24"/>
        </w:rPr>
        <w:t>/20</w:t>
      </w:r>
      <w:r w:rsidR="003839A0">
        <w:rPr>
          <w:rFonts w:asciiTheme="minorHAnsi" w:hAnsiTheme="minorHAnsi"/>
          <w:b/>
          <w:sz w:val="24"/>
          <w:szCs w:val="24"/>
        </w:rPr>
        <w:t>20</w:t>
      </w:r>
      <w:r w:rsidR="00C16CDB" w:rsidRPr="004322A8">
        <w:rPr>
          <w:rFonts w:asciiTheme="minorHAnsi" w:hAnsiTheme="minorHAnsi"/>
          <w:b/>
          <w:sz w:val="24"/>
          <w:szCs w:val="24"/>
        </w:rPr>
        <w:t xml:space="preserve"> rythme nord</w:t>
      </w:r>
      <w:r w:rsidRPr="004322A8">
        <w:rPr>
          <w:rFonts w:asciiTheme="minorHAnsi" w:hAnsiTheme="minorHAnsi"/>
          <w:b/>
          <w:sz w:val="24"/>
          <w:szCs w:val="24"/>
        </w:rPr>
        <w:t xml:space="preserve"> </w:t>
      </w:r>
    </w:p>
    <w:p w14:paraId="58B8D051" w14:textId="77777777" w:rsidR="00C16CDB" w:rsidRPr="007550D2" w:rsidRDefault="00C16CDB" w:rsidP="004C5C50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51CA7DD" w14:textId="399404B0" w:rsidR="00C16CDB" w:rsidRDefault="00C16CDB" w:rsidP="004C5C50">
      <w:pPr>
        <w:jc w:val="both"/>
        <w:rPr>
          <w:rFonts w:asciiTheme="minorHAnsi" w:hAnsiTheme="minorHAnsi"/>
          <w:sz w:val="22"/>
          <w:szCs w:val="22"/>
        </w:rPr>
      </w:pPr>
      <w:r w:rsidRPr="00C16CDB">
        <w:rPr>
          <w:rFonts w:asciiTheme="minorHAnsi" w:hAnsiTheme="minorHAnsi"/>
          <w:sz w:val="22"/>
          <w:szCs w:val="22"/>
        </w:rPr>
        <w:t>Dot</w:t>
      </w:r>
      <w:r w:rsidR="00120F51">
        <w:rPr>
          <w:rFonts w:asciiTheme="minorHAnsi" w:hAnsiTheme="minorHAnsi"/>
          <w:sz w:val="22"/>
          <w:szCs w:val="22"/>
        </w:rPr>
        <w:t>ation initiale exercice 201</w:t>
      </w:r>
      <w:r w:rsidR="003839A0">
        <w:rPr>
          <w:rFonts w:asciiTheme="minorHAnsi" w:hAnsiTheme="minorHAnsi"/>
          <w:sz w:val="22"/>
          <w:szCs w:val="22"/>
        </w:rPr>
        <w:t>9</w:t>
      </w:r>
      <w:r w:rsidR="00120F51">
        <w:rPr>
          <w:rFonts w:asciiTheme="minorHAnsi" w:hAnsiTheme="minorHAnsi"/>
          <w:sz w:val="22"/>
          <w:szCs w:val="22"/>
        </w:rPr>
        <w:t xml:space="preserve"> : </w:t>
      </w:r>
      <w:r w:rsidRPr="00C16CDB">
        <w:rPr>
          <w:rFonts w:asciiTheme="minorHAnsi" w:hAnsiTheme="minorHAnsi"/>
          <w:sz w:val="22"/>
          <w:szCs w:val="22"/>
        </w:rPr>
        <w:t>1</w:t>
      </w:r>
      <w:r w:rsidR="003839A0">
        <w:rPr>
          <w:rFonts w:asciiTheme="minorHAnsi" w:hAnsiTheme="minorHAnsi"/>
          <w:sz w:val="22"/>
          <w:szCs w:val="22"/>
        </w:rPr>
        <w:t>05</w:t>
      </w:r>
      <w:r w:rsidRPr="00C16CDB">
        <w:rPr>
          <w:rFonts w:asciiTheme="minorHAnsi" w:hAnsiTheme="minorHAnsi"/>
          <w:sz w:val="22"/>
          <w:szCs w:val="22"/>
        </w:rPr>
        <w:t xml:space="preserve"> M€  </w:t>
      </w:r>
      <w:r w:rsidR="006E06A7">
        <w:rPr>
          <w:rFonts w:asciiTheme="minorHAnsi" w:hAnsiTheme="minorHAnsi"/>
          <w:sz w:val="22"/>
          <w:szCs w:val="22"/>
        </w:rPr>
        <w:t>(</w:t>
      </w:r>
      <w:r w:rsidR="003839A0">
        <w:rPr>
          <w:rFonts w:asciiTheme="minorHAnsi" w:hAnsiTheme="minorHAnsi"/>
          <w:sz w:val="22"/>
          <w:szCs w:val="22"/>
        </w:rPr>
        <w:t>- 5M€</w:t>
      </w:r>
      <w:r w:rsidR="006E06A7">
        <w:rPr>
          <w:rFonts w:asciiTheme="minorHAnsi" w:hAnsiTheme="minorHAnsi"/>
          <w:sz w:val="22"/>
          <w:szCs w:val="22"/>
        </w:rPr>
        <w:t xml:space="preserve">) </w:t>
      </w:r>
      <w:r w:rsidR="008E1477" w:rsidRPr="00465888">
        <w:rPr>
          <w:rFonts w:asciiTheme="minorHAnsi" w:hAnsiTheme="minorHAnsi"/>
          <w:sz w:val="22"/>
          <w:szCs w:val="22"/>
        </w:rPr>
        <w:t>-</w:t>
      </w:r>
      <w:r w:rsidR="008E1477">
        <w:rPr>
          <w:rFonts w:asciiTheme="minorHAnsi" w:hAnsiTheme="minorHAnsi"/>
          <w:sz w:val="22"/>
          <w:szCs w:val="22"/>
        </w:rPr>
        <w:t xml:space="preserve"> </w:t>
      </w:r>
      <w:r w:rsidRPr="00C16CDB">
        <w:rPr>
          <w:rFonts w:asciiTheme="minorHAnsi" w:hAnsiTheme="minorHAnsi"/>
          <w:sz w:val="22"/>
          <w:szCs w:val="22"/>
        </w:rPr>
        <w:t xml:space="preserve">Subvention </w:t>
      </w:r>
      <w:r w:rsidR="008E1477" w:rsidRPr="002F223B">
        <w:rPr>
          <w:rFonts w:asciiTheme="minorHAnsi" w:hAnsiTheme="minorHAnsi"/>
          <w:sz w:val="22"/>
          <w:szCs w:val="22"/>
        </w:rPr>
        <w:t>de l’</w:t>
      </w:r>
      <w:r w:rsidRPr="00C16CDB">
        <w:rPr>
          <w:rFonts w:asciiTheme="minorHAnsi" w:hAnsiTheme="minorHAnsi"/>
          <w:sz w:val="22"/>
          <w:szCs w:val="22"/>
        </w:rPr>
        <w:t xml:space="preserve">État : </w:t>
      </w:r>
      <w:r w:rsidR="006E06A7">
        <w:rPr>
          <w:rFonts w:asciiTheme="minorHAnsi" w:hAnsiTheme="minorHAnsi"/>
          <w:sz w:val="22"/>
          <w:szCs w:val="22"/>
        </w:rPr>
        <w:t>10</w:t>
      </w:r>
      <w:r w:rsidR="003839A0">
        <w:rPr>
          <w:rFonts w:asciiTheme="minorHAnsi" w:hAnsiTheme="minorHAnsi"/>
          <w:sz w:val="22"/>
          <w:szCs w:val="22"/>
        </w:rPr>
        <w:t>1</w:t>
      </w:r>
      <w:r w:rsidR="006E06A7">
        <w:rPr>
          <w:rFonts w:asciiTheme="minorHAnsi" w:hAnsiTheme="minorHAnsi"/>
          <w:sz w:val="22"/>
          <w:szCs w:val="22"/>
        </w:rPr>
        <w:t>,</w:t>
      </w:r>
      <w:r w:rsidR="003839A0">
        <w:rPr>
          <w:rFonts w:asciiTheme="minorHAnsi" w:hAnsiTheme="minorHAnsi"/>
          <w:sz w:val="22"/>
          <w:szCs w:val="22"/>
        </w:rPr>
        <w:t>85</w:t>
      </w:r>
      <w:r w:rsidRPr="00C16CDB">
        <w:rPr>
          <w:rFonts w:asciiTheme="minorHAnsi" w:hAnsiTheme="minorHAnsi"/>
          <w:sz w:val="22"/>
          <w:szCs w:val="22"/>
        </w:rPr>
        <w:t xml:space="preserve"> M</w:t>
      </w:r>
      <w:r w:rsidR="00465888">
        <w:rPr>
          <w:rFonts w:asciiTheme="minorHAnsi" w:hAnsiTheme="minorHAnsi"/>
          <w:sz w:val="22"/>
          <w:szCs w:val="22"/>
        </w:rPr>
        <w:t>€  - L</w:t>
      </w:r>
      <w:r w:rsidR="00617009">
        <w:rPr>
          <w:rFonts w:asciiTheme="minorHAnsi" w:hAnsiTheme="minorHAnsi"/>
          <w:sz w:val="22"/>
          <w:szCs w:val="22"/>
        </w:rPr>
        <w:t>es besoins supplémentaires  seront couverts par prélèvement sur la soulte qui s’élève à environ 16M€. Une enveloppe distincte de 300 000 € est destinée à la prise en charge des ASESH.</w:t>
      </w:r>
    </w:p>
    <w:p w14:paraId="7760AD76" w14:textId="77777777" w:rsidR="000F054D" w:rsidRPr="003A0B22" w:rsidRDefault="000F054D" w:rsidP="004C5C50">
      <w:pPr>
        <w:pStyle w:val="Corpsdetexte"/>
        <w:rPr>
          <w:rFonts w:asciiTheme="minorHAnsi" w:hAnsiTheme="minorHAnsi"/>
          <w:sz w:val="22"/>
          <w:szCs w:val="22"/>
        </w:rPr>
      </w:pPr>
    </w:p>
    <w:p w14:paraId="52EB8273" w14:textId="4E9B1631" w:rsidR="003F3C36" w:rsidRDefault="003F3C36" w:rsidP="00C76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  <w:sz w:val="24"/>
          <w:szCs w:val="24"/>
        </w:rPr>
      </w:pPr>
      <w:r w:rsidRPr="00FC4CED">
        <w:rPr>
          <w:rFonts w:asciiTheme="minorHAnsi" w:hAnsiTheme="minorHAnsi"/>
          <w:b/>
          <w:sz w:val="24"/>
          <w:szCs w:val="24"/>
        </w:rPr>
        <w:t>2ème CNB 201</w:t>
      </w:r>
      <w:r w:rsidR="00617009">
        <w:rPr>
          <w:rFonts w:asciiTheme="minorHAnsi" w:hAnsiTheme="minorHAnsi"/>
          <w:b/>
          <w:sz w:val="24"/>
          <w:szCs w:val="24"/>
        </w:rPr>
        <w:t>9</w:t>
      </w:r>
      <w:r w:rsidRPr="00FC4CED">
        <w:rPr>
          <w:rFonts w:asciiTheme="minorHAnsi" w:hAnsiTheme="minorHAnsi"/>
          <w:b/>
          <w:sz w:val="24"/>
          <w:szCs w:val="24"/>
        </w:rPr>
        <w:t xml:space="preserve"> rythme sud</w:t>
      </w:r>
    </w:p>
    <w:p w14:paraId="2FF855E9" w14:textId="77777777" w:rsidR="004A50F7" w:rsidRPr="00FC4CED" w:rsidRDefault="004A50F7" w:rsidP="004C5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4"/>
        </w:rPr>
      </w:pPr>
    </w:p>
    <w:p w14:paraId="6504A734" w14:textId="300ABCC7" w:rsidR="003F3C36" w:rsidRDefault="003F3C36" w:rsidP="004C5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8513D9">
        <w:rPr>
          <w:rFonts w:asciiTheme="minorHAnsi" w:hAnsiTheme="minorHAnsi"/>
          <w:sz w:val="22"/>
          <w:szCs w:val="22"/>
          <w:u w:val="single"/>
        </w:rPr>
        <w:t>E</w:t>
      </w:r>
      <w:r w:rsidR="00183610" w:rsidRPr="008513D9">
        <w:rPr>
          <w:rFonts w:asciiTheme="minorHAnsi" w:hAnsiTheme="minorHAnsi"/>
          <w:sz w:val="22"/>
          <w:szCs w:val="22"/>
          <w:u w:val="single"/>
        </w:rPr>
        <w:t>nveloppe de référence</w:t>
      </w:r>
      <w:r w:rsidR="00183610" w:rsidRPr="00183610">
        <w:rPr>
          <w:rFonts w:asciiTheme="minorHAnsi" w:hAnsiTheme="minorHAnsi"/>
          <w:sz w:val="22"/>
          <w:szCs w:val="22"/>
        </w:rPr>
        <w:t xml:space="preserve"> </w:t>
      </w:r>
      <w:r w:rsidR="00617009">
        <w:rPr>
          <w:rFonts w:asciiTheme="minorHAnsi" w:hAnsiTheme="minorHAnsi"/>
          <w:sz w:val="22"/>
          <w:szCs w:val="22"/>
        </w:rPr>
        <w:t xml:space="preserve"> 9,86M€ </w:t>
      </w:r>
      <w:r w:rsidR="006E06A7">
        <w:rPr>
          <w:rFonts w:asciiTheme="minorHAnsi" w:hAnsiTheme="minorHAnsi"/>
          <w:sz w:val="22"/>
          <w:szCs w:val="22"/>
        </w:rPr>
        <w:t>(</w:t>
      </w:r>
      <w:r w:rsidR="00617009">
        <w:rPr>
          <w:rFonts w:asciiTheme="minorHAnsi" w:hAnsiTheme="minorHAnsi"/>
          <w:sz w:val="22"/>
          <w:szCs w:val="22"/>
        </w:rPr>
        <w:t xml:space="preserve">10,65M€ </w:t>
      </w:r>
      <w:r w:rsidR="006E06A7">
        <w:rPr>
          <w:rFonts w:asciiTheme="minorHAnsi" w:hAnsiTheme="minorHAnsi"/>
          <w:sz w:val="22"/>
          <w:szCs w:val="22"/>
        </w:rPr>
        <w:t>M€ en 201</w:t>
      </w:r>
      <w:r w:rsidR="00617009">
        <w:rPr>
          <w:rFonts w:asciiTheme="minorHAnsi" w:hAnsiTheme="minorHAnsi"/>
          <w:sz w:val="22"/>
          <w:szCs w:val="22"/>
        </w:rPr>
        <w:t>8</w:t>
      </w:r>
      <w:r w:rsidR="006E06A7">
        <w:rPr>
          <w:rFonts w:asciiTheme="minorHAnsi" w:hAnsiTheme="minorHAnsi"/>
          <w:sz w:val="22"/>
          <w:szCs w:val="22"/>
        </w:rPr>
        <w:t>)</w:t>
      </w:r>
    </w:p>
    <w:p w14:paraId="7E8F74BE" w14:textId="6D2859A9" w:rsidR="008513D9" w:rsidRDefault="00183610" w:rsidP="004C5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624BAB">
        <w:rPr>
          <w:rFonts w:asciiTheme="minorHAnsi" w:hAnsiTheme="minorHAnsi"/>
          <w:sz w:val="22"/>
          <w:szCs w:val="22"/>
          <w:u w:val="single"/>
        </w:rPr>
        <w:t>Besoins exprimés</w:t>
      </w:r>
      <w:r w:rsidRPr="00183610">
        <w:rPr>
          <w:rFonts w:asciiTheme="minorHAnsi" w:hAnsiTheme="minorHAnsi"/>
          <w:sz w:val="22"/>
          <w:szCs w:val="22"/>
        </w:rPr>
        <w:t xml:space="preserve"> à l’issu</w:t>
      </w:r>
      <w:r>
        <w:rPr>
          <w:rFonts w:asciiTheme="minorHAnsi" w:hAnsiTheme="minorHAnsi"/>
          <w:sz w:val="22"/>
          <w:szCs w:val="22"/>
        </w:rPr>
        <w:t xml:space="preserve">e de l’instruction des dossiers : </w:t>
      </w:r>
      <w:r w:rsidR="00617009">
        <w:rPr>
          <w:rFonts w:asciiTheme="minorHAnsi" w:hAnsiTheme="minorHAnsi"/>
          <w:sz w:val="22"/>
          <w:szCs w:val="22"/>
        </w:rPr>
        <w:t xml:space="preserve">9,5 M€ </w:t>
      </w:r>
      <w:r w:rsidR="006E06A7">
        <w:rPr>
          <w:rFonts w:asciiTheme="minorHAnsi" w:hAnsiTheme="minorHAnsi"/>
          <w:sz w:val="22"/>
          <w:szCs w:val="22"/>
        </w:rPr>
        <w:t>(</w:t>
      </w:r>
      <w:r w:rsidR="00617009">
        <w:rPr>
          <w:rFonts w:asciiTheme="minorHAnsi" w:hAnsiTheme="minorHAnsi"/>
          <w:sz w:val="22"/>
          <w:szCs w:val="22"/>
        </w:rPr>
        <w:t xml:space="preserve">10,31M€ </w:t>
      </w:r>
      <w:r w:rsidR="006E06A7">
        <w:rPr>
          <w:rFonts w:asciiTheme="minorHAnsi" w:hAnsiTheme="minorHAnsi"/>
          <w:sz w:val="22"/>
          <w:szCs w:val="22"/>
        </w:rPr>
        <w:t>en 2017)</w:t>
      </w:r>
    </w:p>
    <w:p w14:paraId="607E8AB8" w14:textId="12EC5CF1" w:rsidR="008513D9" w:rsidRDefault="003F3C36" w:rsidP="004C5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8513D9">
        <w:rPr>
          <w:rFonts w:asciiTheme="minorHAnsi" w:hAnsiTheme="minorHAnsi"/>
          <w:sz w:val="22"/>
          <w:szCs w:val="22"/>
          <w:u w:val="single"/>
        </w:rPr>
        <w:t>E</w:t>
      </w:r>
      <w:r w:rsidR="00183610" w:rsidRPr="008513D9">
        <w:rPr>
          <w:rFonts w:asciiTheme="minorHAnsi" w:hAnsiTheme="minorHAnsi"/>
          <w:sz w:val="22"/>
          <w:szCs w:val="22"/>
          <w:u w:val="single"/>
        </w:rPr>
        <w:t>nve</w:t>
      </w:r>
      <w:r w:rsidRPr="008513D9">
        <w:rPr>
          <w:rFonts w:asciiTheme="minorHAnsi" w:hAnsiTheme="minorHAnsi"/>
          <w:sz w:val="22"/>
          <w:szCs w:val="22"/>
          <w:u w:val="single"/>
        </w:rPr>
        <w:t>loppe limitative </w:t>
      </w:r>
      <w:r>
        <w:rPr>
          <w:rFonts w:asciiTheme="minorHAnsi" w:hAnsiTheme="minorHAnsi"/>
          <w:sz w:val="22"/>
          <w:szCs w:val="22"/>
        </w:rPr>
        <w:t xml:space="preserve">: </w:t>
      </w:r>
      <w:r w:rsidR="00617009">
        <w:rPr>
          <w:rFonts w:asciiTheme="minorHAnsi" w:hAnsiTheme="minorHAnsi"/>
          <w:sz w:val="22"/>
          <w:szCs w:val="22"/>
        </w:rPr>
        <w:t xml:space="preserve">9,6M€ </w:t>
      </w:r>
      <w:r w:rsidR="006E06A7">
        <w:rPr>
          <w:rFonts w:asciiTheme="minorHAnsi" w:hAnsiTheme="minorHAnsi"/>
          <w:sz w:val="22"/>
          <w:szCs w:val="22"/>
        </w:rPr>
        <w:t>(</w:t>
      </w:r>
      <w:r w:rsidR="00617009">
        <w:rPr>
          <w:rFonts w:asciiTheme="minorHAnsi" w:hAnsiTheme="minorHAnsi"/>
          <w:sz w:val="22"/>
          <w:szCs w:val="22"/>
        </w:rPr>
        <w:t xml:space="preserve">10,42 M€ </w:t>
      </w:r>
      <w:r w:rsidR="006E06A7">
        <w:rPr>
          <w:rFonts w:asciiTheme="minorHAnsi" w:hAnsiTheme="minorHAnsi"/>
          <w:sz w:val="22"/>
          <w:szCs w:val="22"/>
        </w:rPr>
        <w:t>en 201</w:t>
      </w:r>
      <w:r w:rsidR="00617009">
        <w:rPr>
          <w:rFonts w:asciiTheme="minorHAnsi" w:hAnsiTheme="minorHAnsi"/>
          <w:sz w:val="22"/>
          <w:szCs w:val="22"/>
        </w:rPr>
        <w:t>8</w:t>
      </w:r>
      <w:r w:rsidR="006E06A7">
        <w:rPr>
          <w:rFonts w:asciiTheme="minorHAnsi" w:hAnsiTheme="minorHAnsi"/>
          <w:sz w:val="22"/>
          <w:szCs w:val="22"/>
        </w:rPr>
        <w:t>)</w:t>
      </w:r>
      <w:r w:rsidR="00183610" w:rsidRPr="00183610">
        <w:rPr>
          <w:rFonts w:asciiTheme="minorHAnsi" w:hAnsiTheme="minorHAnsi"/>
          <w:sz w:val="22"/>
          <w:szCs w:val="22"/>
        </w:rPr>
        <w:t xml:space="preserve">. </w:t>
      </w:r>
    </w:p>
    <w:p w14:paraId="719C8BAF" w14:textId="304F8EE4" w:rsidR="008513D9" w:rsidRDefault="00617009" w:rsidP="004C5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1861</w:t>
      </w:r>
      <w:r w:rsidR="008513D9">
        <w:rPr>
          <w:rFonts w:asciiTheme="minorHAnsi" w:hAnsiTheme="minorHAnsi"/>
          <w:sz w:val="22"/>
          <w:szCs w:val="22"/>
        </w:rPr>
        <w:t xml:space="preserve"> </w:t>
      </w:r>
      <w:r w:rsidR="008513D9" w:rsidRPr="008513D9">
        <w:rPr>
          <w:rFonts w:asciiTheme="minorHAnsi" w:hAnsiTheme="minorHAnsi"/>
          <w:sz w:val="22"/>
          <w:szCs w:val="22"/>
          <w:u w:val="single"/>
        </w:rPr>
        <w:t>demandes instruites</w:t>
      </w:r>
      <w:r w:rsidR="008E1477" w:rsidRPr="00661F6D">
        <w:rPr>
          <w:rFonts w:asciiTheme="minorHAnsi" w:hAnsiTheme="minorHAnsi"/>
          <w:sz w:val="22"/>
          <w:szCs w:val="22"/>
          <w:u w:val="single"/>
        </w:rPr>
        <w:t>,</w:t>
      </w:r>
      <w:r w:rsidR="008513D9">
        <w:rPr>
          <w:rFonts w:asciiTheme="minorHAnsi" w:hAnsiTheme="minorHAnsi"/>
          <w:sz w:val="22"/>
          <w:szCs w:val="22"/>
        </w:rPr>
        <w:t xml:space="preserve"> en </w:t>
      </w:r>
      <w:r>
        <w:rPr>
          <w:rFonts w:asciiTheme="minorHAnsi" w:hAnsiTheme="minorHAnsi"/>
          <w:sz w:val="22"/>
          <w:szCs w:val="22"/>
        </w:rPr>
        <w:t>baisse</w:t>
      </w:r>
      <w:r w:rsidR="008513D9">
        <w:rPr>
          <w:rFonts w:asciiTheme="minorHAnsi" w:hAnsiTheme="minorHAnsi"/>
          <w:sz w:val="22"/>
          <w:szCs w:val="22"/>
        </w:rPr>
        <w:t xml:space="preserve"> par rapport à l’an dernier (1</w:t>
      </w:r>
      <w:r>
        <w:rPr>
          <w:rFonts w:asciiTheme="minorHAnsi" w:hAnsiTheme="minorHAnsi"/>
          <w:sz w:val="22"/>
          <w:szCs w:val="22"/>
        </w:rPr>
        <w:t> 926</w:t>
      </w:r>
      <w:r w:rsidR="008513D9">
        <w:rPr>
          <w:rFonts w:asciiTheme="minorHAnsi" w:hAnsiTheme="minorHAnsi"/>
          <w:sz w:val="22"/>
          <w:szCs w:val="22"/>
        </w:rPr>
        <w:t>)</w:t>
      </w:r>
    </w:p>
    <w:p w14:paraId="1DA7A66C" w14:textId="473E3C73" w:rsidR="00884E15" w:rsidRDefault="00183610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4"/>
        </w:rPr>
      </w:pPr>
      <w:r w:rsidRPr="00624BAB">
        <w:rPr>
          <w:rFonts w:asciiTheme="minorHAnsi" w:hAnsiTheme="minorHAnsi"/>
          <w:sz w:val="22"/>
          <w:szCs w:val="22"/>
          <w:u w:val="single"/>
        </w:rPr>
        <w:t>A</w:t>
      </w:r>
      <w:r w:rsidR="00FC4CED" w:rsidRPr="00624BAB">
        <w:rPr>
          <w:rFonts w:asciiTheme="minorHAnsi" w:hAnsiTheme="minorHAnsi"/>
          <w:sz w:val="22"/>
          <w:szCs w:val="22"/>
          <w:u w:val="single"/>
        </w:rPr>
        <w:t>ttribution de bourses</w:t>
      </w:r>
      <w:r w:rsidR="00FC4CED">
        <w:rPr>
          <w:rFonts w:asciiTheme="minorHAnsi" w:hAnsiTheme="minorHAnsi"/>
          <w:sz w:val="22"/>
          <w:szCs w:val="22"/>
        </w:rPr>
        <w:t xml:space="preserve"> à </w:t>
      </w:r>
      <w:r w:rsidR="00617009">
        <w:rPr>
          <w:rFonts w:asciiTheme="minorHAnsi" w:hAnsiTheme="minorHAnsi"/>
          <w:sz w:val="22"/>
          <w:szCs w:val="22"/>
        </w:rPr>
        <w:t xml:space="preserve">1 627 </w:t>
      </w:r>
      <w:r w:rsidR="00884E15">
        <w:rPr>
          <w:rFonts w:asciiTheme="minorHAnsi" w:hAnsiTheme="minorHAnsi"/>
          <w:sz w:val="22"/>
          <w:szCs w:val="22"/>
        </w:rPr>
        <w:t xml:space="preserve">élèves </w:t>
      </w:r>
      <w:r w:rsidR="00C0269B">
        <w:rPr>
          <w:rFonts w:asciiTheme="minorHAnsi" w:hAnsiTheme="minorHAnsi"/>
          <w:sz w:val="22"/>
          <w:szCs w:val="22"/>
        </w:rPr>
        <w:t xml:space="preserve">(-4,8%), </w:t>
      </w:r>
      <w:r w:rsidRPr="00183610">
        <w:rPr>
          <w:rFonts w:asciiTheme="minorHAnsi" w:hAnsiTheme="minorHAnsi"/>
          <w:sz w:val="22"/>
          <w:szCs w:val="22"/>
        </w:rPr>
        <w:t xml:space="preserve">pour un montant de </w:t>
      </w:r>
      <w:r w:rsidR="00617009">
        <w:rPr>
          <w:rFonts w:asciiTheme="minorHAnsi" w:hAnsiTheme="minorHAnsi"/>
          <w:sz w:val="22"/>
          <w:szCs w:val="22"/>
        </w:rPr>
        <w:t>9,46M€</w:t>
      </w:r>
      <w:r w:rsidR="00C0269B">
        <w:rPr>
          <w:rFonts w:asciiTheme="minorHAnsi" w:hAnsiTheme="minorHAnsi"/>
          <w:sz w:val="22"/>
          <w:szCs w:val="22"/>
        </w:rPr>
        <w:t xml:space="preserve"> (-8,3%)</w:t>
      </w:r>
      <w:r w:rsidR="00617009">
        <w:rPr>
          <w:rFonts w:asciiTheme="minorHAnsi" w:hAnsiTheme="minorHAnsi"/>
          <w:sz w:val="22"/>
          <w:szCs w:val="22"/>
        </w:rPr>
        <w:t xml:space="preserve"> </w:t>
      </w:r>
    </w:p>
    <w:p w14:paraId="43A83BCD" w14:textId="4004AA3F" w:rsidR="00183610" w:rsidRDefault="00183610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</w:rPr>
      </w:pPr>
      <w:r w:rsidRPr="003965A1">
        <w:rPr>
          <w:rFonts w:asciiTheme="minorHAnsi" w:hAnsiTheme="minorHAnsi"/>
          <w:sz w:val="22"/>
          <w:szCs w:val="22"/>
          <w:u w:val="single"/>
        </w:rPr>
        <w:t>Coût moyen boursier</w:t>
      </w:r>
      <w:r w:rsidR="00884E15" w:rsidRPr="003965A1">
        <w:rPr>
          <w:rFonts w:asciiTheme="minorHAnsi" w:hAnsiTheme="minorHAnsi"/>
          <w:sz w:val="22"/>
          <w:szCs w:val="22"/>
          <w:u w:val="single"/>
        </w:rPr>
        <w:t> </w:t>
      </w:r>
      <w:r w:rsidR="00884E15">
        <w:rPr>
          <w:rFonts w:asciiTheme="minorHAnsi" w:hAnsiTheme="minorHAnsi"/>
          <w:sz w:val="22"/>
          <w:szCs w:val="22"/>
        </w:rPr>
        <w:t xml:space="preserve">: </w:t>
      </w:r>
      <w:r w:rsidR="00617009">
        <w:rPr>
          <w:rFonts w:asciiTheme="minorHAnsi" w:hAnsiTheme="minorHAnsi"/>
          <w:sz w:val="22"/>
          <w:szCs w:val="22"/>
        </w:rPr>
        <w:t>5</w:t>
      </w:r>
      <w:r w:rsidR="00C0269B">
        <w:rPr>
          <w:rFonts w:asciiTheme="minorHAnsi" w:hAnsiTheme="minorHAnsi"/>
          <w:sz w:val="22"/>
          <w:szCs w:val="22"/>
        </w:rPr>
        <w:t> </w:t>
      </w:r>
      <w:r w:rsidR="00617009">
        <w:rPr>
          <w:rFonts w:asciiTheme="minorHAnsi" w:hAnsiTheme="minorHAnsi"/>
          <w:sz w:val="22"/>
          <w:szCs w:val="22"/>
        </w:rPr>
        <w:t>8</w:t>
      </w:r>
      <w:r w:rsidR="00C0269B">
        <w:rPr>
          <w:rFonts w:asciiTheme="minorHAnsi" w:hAnsiTheme="minorHAnsi"/>
          <w:sz w:val="22"/>
          <w:szCs w:val="22"/>
        </w:rPr>
        <w:t xml:space="preserve">17€ </w:t>
      </w:r>
      <w:r w:rsidR="00B6440A">
        <w:rPr>
          <w:rFonts w:asciiTheme="minorHAnsi" w:hAnsiTheme="minorHAnsi"/>
          <w:sz w:val="22"/>
          <w:szCs w:val="22"/>
        </w:rPr>
        <w:t xml:space="preserve">Rejets </w:t>
      </w:r>
      <w:r w:rsidR="007E4FAC">
        <w:rPr>
          <w:rFonts w:asciiTheme="minorHAnsi" w:hAnsiTheme="minorHAnsi"/>
          <w:sz w:val="22"/>
          <w:szCs w:val="22"/>
        </w:rPr>
        <w:t>1</w:t>
      </w:r>
      <w:r w:rsidR="00C0269B">
        <w:rPr>
          <w:rFonts w:asciiTheme="minorHAnsi" w:hAnsiTheme="minorHAnsi"/>
          <w:sz w:val="22"/>
          <w:szCs w:val="22"/>
        </w:rPr>
        <w:t>68</w:t>
      </w:r>
      <w:r w:rsidR="00FC4CED">
        <w:rPr>
          <w:rFonts w:asciiTheme="minorHAnsi" w:hAnsiTheme="minorHAnsi"/>
          <w:sz w:val="22"/>
          <w:szCs w:val="22"/>
        </w:rPr>
        <w:t xml:space="preserve">. </w:t>
      </w:r>
      <w:r w:rsidR="00B6440A">
        <w:rPr>
          <w:rFonts w:asciiTheme="minorHAnsi" w:hAnsiTheme="minorHAnsi"/>
          <w:sz w:val="22"/>
          <w:szCs w:val="22"/>
        </w:rPr>
        <w:t>N</w:t>
      </w:r>
      <w:r w:rsidRPr="00183610">
        <w:rPr>
          <w:rFonts w:asciiTheme="minorHAnsi" w:hAnsiTheme="minorHAnsi"/>
          <w:sz w:val="22"/>
          <w:szCs w:val="22"/>
        </w:rPr>
        <w:t xml:space="preserve">on-scolarisation à la rentrée de </w:t>
      </w:r>
      <w:r w:rsidR="00C0269B">
        <w:rPr>
          <w:rFonts w:asciiTheme="minorHAnsi" w:hAnsiTheme="minorHAnsi"/>
          <w:sz w:val="22"/>
          <w:szCs w:val="22"/>
        </w:rPr>
        <w:t>59</w:t>
      </w:r>
      <w:r w:rsidRPr="00183610">
        <w:rPr>
          <w:rFonts w:asciiTheme="minorHAnsi" w:hAnsiTheme="minorHAnsi"/>
          <w:sz w:val="22"/>
          <w:szCs w:val="22"/>
        </w:rPr>
        <w:t xml:space="preserve"> élèves</w:t>
      </w:r>
      <w:r w:rsidR="00FC4CED">
        <w:rPr>
          <w:rFonts w:asciiTheme="minorHAnsi" w:hAnsiTheme="minorHAnsi"/>
          <w:sz w:val="22"/>
          <w:szCs w:val="22"/>
        </w:rPr>
        <w:t xml:space="preserve"> boursiers, après 1ère CNB</w:t>
      </w:r>
      <w:r w:rsidR="00C0269B">
        <w:rPr>
          <w:rFonts w:asciiTheme="minorHAnsi" w:hAnsiTheme="minorHAnsi"/>
          <w:sz w:val="22"/>
          <w:szCs w:val="22"/>
        </w:rPr>
        <w:t xml:space="preserve"> (3,6%)</w:t>
      </w:r>
      <w:r w:rsidR="007550D2">
        <w:rPr>
          <w:rFonts w:asciiTheme="minorHAnsi" w:hAnsiTheme="minorHAnsi"/>
          <w:sz w:val="22"/>
          <w:szCs w:val="22"/>
        </w:rPr>
        <w:t xml:space="preserve"> </w:t>
      </w:r>
      <w:r w:rsidRPr="00183610">
        <w:rPr>
          <w:rFonts w:asciiTheme="minorHAnsi" w:hAnsiTheme="minorHAnsi"/>
          <w:sz w:val="22"/>
          <w:szCs w:val="22"/>
        </w:rPr>
        <w:t xml:space="preserve">dont </w:t>
      </w:r>
      <w:r w:rsidR="00C0269B">
        <w:rPr>
          <w:rFonts w:asciiTheme="minorHAnsi" w:hAnsiTheme="minorHAnsi"/>
          <w:sz w:val="22"/>
          <w:szCs w:val="22"/>
        </w:rPr>
        <w:t>11</w:t>
      </w:r>
      <w:r w:rsidRPr="00183610">
        <w:rPr>
          <w:rFonts w:asciiTheme="minorHAnsi" w:hAnsiTheme="minorHAnsi"/>
          <w:sz w:val="22"/>
          <w:szCs w:val="22"/>
        </w:rPr>
        <w:t xml:space="preserve"> pour raisons financières déclarées. </w:t>
      </w:r>
    </w:p>
    <w:p w14:paraId="78EDC120" w14:textId="76128C01" w:rsidR="00C0269B" w:rsidRPr="00183610" w:rsidRDefault="00FC4CED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Quotité moyenne</w:t>
      </w:r>
      <w:r w:rsidR="008E1477" w:rsidRPr="008E1477">
        <w:rPr>
          <w:rFonts w:asciiTheme="minorHAnsi" w:hAnsiTheme="minorHAnsi"/>
          <w:color w:val="FF0000"/>
          <w:sz w:val="22"/>
          <w:szCs w:val="22"/>
        </w:rPr>
        <w:t> </w:t>
      </w:r>
      <w:r w:rsidR="008E1477" w:rsidRPr="00661F6D">
        <w:rPr>
          <w:rFonts w:asciiTheme="minorHAnsi" w:hAnsiTheme="minorHAnsi"/>
          <w:sz w:val="22"/>
          <w:szCs w:val="22"/>
        </w:rPr>
        <w:t>:</w:t>
      </w:r>
      <w:r w:rsidR="008E1477" w:rsidRPr="008E1477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7</w:t>
      </w:r>
      <w:r w:rsidR="00C0269B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,</w:t>
      </w:r>
      <w:r w:rsidR="00C0269B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% contre </w:t>
      </w:r>
      <w:r w:rsidR="00C0269B">
        <w:rPr>
          <w:rFonts w:asciiTheme="minorHAnsi" w:hAnsiTheme="minorHAnsi"/>
          <w:sz w:val="22"/>
          <w:szCs w:val="22"/>
        </w:rPr>
        <w:t xml:space="preserve">76 </w:t>
      </w:r>
      <w:r>
        <w:rPr>
          <w:rFonts w:asciiTheme="minorHAnsi" w:hAnsiTheme="minorHAnsi"/>
          <w:sz w:val="22"/>
          <w:szCs w:val="22"/>
        </w:rPr>
        <w:t xml:space="preserve">l’année précédente. Pourcentage de familles boursières à 100% en hausse : </w:t>
      </w:r>
      <w:r w:rsidR="00C0269B">
        <w:rPr>
          <w:rFonts w:asciiTheme="minorHAnsi" w:hAnsiTheme="minorHAnsi"/>
          <w:sz w:val="22"/>
          <w:szCs w:val="22"/>
        </w:rPr>
        <w:t xml:space="preserve">35,8% contre </w:t>
      </w:r>
      <w:r>
        <w:rPr>
          <w:rFonts w:asciiTheme="minorHAnsi" w:hAnsiTheme="minorHAnsi"/>
          <w:sz w:val="22"/>
          <w:szCs w:val="22"/>
        </w:rPr>
        <w:t>33,9%</w:t>
      </w:r>
      <w:r w:rsidR="003B2A7D">
        <w:rPr>
          <w:rFonts w:asciiTheme="minorHAnsi" w:hAnsiTheme="minorHAnsi"/>
          <w:sz w:val="22"/>
          <w:szCs w:val="22"/>
        </w:rPr>
        <w:t xml:space="preserve"> en 2018. Pourcentage </w:t>
      </w:r>
      <w:r w:rsidR="00C0269B">
        <w:rPr>
          <w:rFonts w:asciiTheme="minorHAnsi" w:hAnsiTheme="minorHAnsi"/>
          <w:sz w:val="22"/>
          <w:szCs w:val="22"/>
        </w:rPr>
        <w:t xml:space="preserve">de familles dont la quotité </w:t>
      </w:r>
      <w:r w:rsidR="00661F6D">
        <w:rPr>
          <w:rFonts w:asciiTheme="minorHAnsi" w:hAnsiTheme="minorHAnsi"/>
          <w:sz w:val="22"/>
          <w:szCs w:val="22"/>
        </w:rPr>
        <w:t>a</w:t>
      </w:r>
      <w:r w:rsidR="00C0269B">
        <w:rPr>
          <w:rFonts w:asciiTheme="minorHAnsi" w:hAnsiTheme="minorHAnsi"/>
          <w:sz w:val="22"/>
          <w:szCs w:val="22"/>
        </w:rPr>
        <w:t xml:space="preserve"> été pond</w:t>
      </w:r>
      <w:r w:rsidR="007550D2">
        <w:rPr>
          <w:rFonts w:asciiTheme="minorHAnsi" w:hAnsiTheme="minorHAnsi"/>
          <w:sz w:val="22"/>
          <w:szCs w:val="22"/>
        </w:rPr>
        <w:t>éré</w:t>
      </w:r>
      <w:r w:rsidR="003B2A7D">
        <w:rPr>
          <w:rFonts w:asciiTheme="minorHAnsi" w:hAnsiTheme="minorHAnsi"/>
          <w:sz w:val="22"/>
          <w:szCs w:val="22"/>
        </w:rPr>
        <w:t>e</w:t>
      </w:r>
      <w:r w:rsidR="007550D2">
        <w:rPr>
          <w:rFonts w:asciiTheme="minorHAnsi" w:hAnsiTheme="minorHAnsi"/>
          <w:sz w:val="22"/>
          <w:szCs w:val="22"/>
        </w:rPr>
        <w:t xml:space="preserve"> (à la hausse ou à la baisse</w:t>
      </w:r>
      <w:r w:rsidR="00C0269B">
        <w:rPr>
          <w:rFonts w:asciiTheme="minorHAnsi" w:hAnsiTheme="minorHAnsi"/>
          <w:sz w:val="22"/>
          <w:szCs w:val="22"/>
        </w:rPr>
        <w:t>) 29,2% contre 26% en 2018</w:t>
      </w:r>
    </w:p>
    <w:p w14:paraId="47586197" w14:textId="77777777" w:rsidR="00183610" w:rsidRPr="000D78E9" w:rsidRDefault="00183610" w:rsidP="004C5C50">
      <w:pPr>
        <w:jc w:val="both"/>
        <w:rPr>
          <w:rFonts w:asciiTheme="minorHAnsi" w:hAnsiTheme="minorHAnsi"/>
          <w:sz w:val="32"/>
          <w:szCs w:val="32"/>
        </w:rPr>
      </w:pPr>
    </w:p>
    <w:p w14:paraId="24A4BD2B" w14:textId="16767F60" w:rsidR="00183610" w:rsidRPr="00FC4CED" w:rsidRDefault="00FC4CED" w:rsidP="00C7673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  <w:szCs w:val="24"/>
        </w:rPr>
      </w:pPr>
      <w:r w:rsidRPr="00FC4CED">
        <w:rPr>
          <w:rFonts w:asciiTheme="minorHAnsi" w:hAnsiTheme="minorHAnsi"/>
          <w:b/>
          <w:szCs w:val="24"/>
        </w:rPr>
        <w:t>1ère CNB  201</w:t>
      </w:r>
      <w:r w:rsidR="003240EE">
        <w:rPr>
          <w:rFonts w:asciiTheme="minorHAnsi" w:hAnsiTheme="minorHAnsi"/>
          <w:b/>
          <w:szCs w:val="24"/>
        </w:rPr>
        <w:t>9</w:t>
      </w:r>
      <w:r w:rsidRPr="00FC4CED">
        <w:rPr>
          <w:rFonts w:asciiTheme="minorHAnsi" w:hAnsiTheme="minorHAnsi"/>
          <w:b/>
          <w:szCs w:val="24"/>
        </w:rPr>
        <w:t>/20</w:t>
      </w:r>
      <w:r w:rsidR="003240EE">
        <w:rPr>
          <w:rFonts w:asciiTheme="minorHAnsi" w:hAnsiTheme="minorHAnsi"/>
          <w:b/>
          <w:szCs w:val="24"/>
        </w:rPr>
        <w:t>20</w:t>
      </w:r>
      <w:r w:rsidRPr="00FC4CED">
        <w:rPr>
          <w:rFonts w:asciiTheme="minorHAnsi" w:hAnsiTheme="minorHAnsi"/>
          <w:b/>
          <w:szCs w:val="24"/>
        </w:rPr>
        <w:t xml:space="preserve"> rythme nord</w:t>
      </w:r>
    </w:p>
    <w:p w14:paraId="5EF9CFE5" w14:textId="77777777" w:rsidR="005B0205" w:rsidRDefault="005B0205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8"/>
          <w:szCs w:val="28"/>
        </w:rPr>
      </w:pPr>
    </w:p>
    <w:p w14:paraId="30A963A7" w14:textId="11C3B642" w:rsidR="005B0205" w:rsidRDefault="00C0269B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szCs w:val="24"/>
        </w:rPr>
      </w:pPr>
      <w:r>
        <w:rPr>
          <w:szCs w:val="24"/>
        </w:rPr>
        <w:t>23 591</w:t>
      </w:r>
      <w:r w:rsidR="008513D9">
        <w:rPr>
          <w:szCs w:val="24"/>
        </w:rPr>
        <w:t xml:space="preserve"> </w:t>
      </w:r>
      <w:r w:rsidR="00F82E98" w:rsidRPr="002454C3">
        <w:rPr>
          <w:szCs w:val="24"/>
          <w:u w:val="single"/>
        </w:rPr>
        <w:t xml:space="preserve">demandes </w:t>
      </w:r>
      <w:r w:rsidR="00FC4CED" w:rsidRPr="002454C3">
        <w:rPr>
          <w:szCs w:val="24"/>
          <w:u w:val="single"/>
        </w:rPr>
        <w:t>instruites</w:t>
      </w:r>
      <w:r w:rsidR="00F82E98">
        <w:rPr>
          <w:szCs w:val="24"/>
        </w:rPr>
        <w:t xml:space="preserve"> </w:t>
      </w:r>
      <w:r w:rsidR="008513D9">
        <w:rPr>
          <w:szCs w:val="24"/>
        </w:rPr>
        <w:t>(-</w:t>
      </w:r>
      <w:r w:rsidR="003240EE">
        <w:rPr>
          <w:szCs w:val="24"/>
        </w:rPr>
        <w:t xml:space="preserve"> 4,5</w:t>
      </w:r>
      <w:r w:rsidR="008513D9">
        <w:rPr>
          <w:szCs w:val="24"/>
        </w:rPr>
        <w:t xml:space="preserve">%) </w:t>
      </w:r>
      <w:r w:rsidR="00626A57">
        <w:rPr>
          <w:szCs w:val="24"/>
        </w:rPr>
        <w:t>Taux de r</w:t>
      </w:r>
      <w:r w:rsidR="0035744D">
        <w:rPr>
          <w:szCs w:val="24"/>
        </w:rPr>
        <w:t>ecevabilité :</w:t>
      </w:r>
      <w:r w:rsidR="00626A57">
        <w:rPr>
          <w:szCs w:val="24"/>
        </w:rPr>
        <w:t xml:space="preserve"> </w:t>
      </w:r>
      <w:r w:rsidR="003240EE">
        <w:rPr>
          <w:szCs w:val="24"/>
        </w:rPr>
        <w:t xml:space="preserve">84,8% contre </w:t>
      </w:r>
      <w:r w:rsidR="00626A57">
        <w:rPr>
          <w:szCs w:val="24"/>
        </w:rPr>
        <w:t>82,6%</w:t>
      </w:r>
      <w:r w:rsidR="003240EE">
        <w:rPr>
          <w:szCs w:val="24"/>
        </w:rPr>
        <w:t xml:space="preserve"> l’an dernier</w:t>
      </w:r>
    </w:p>
    <w:p w14:paraId="6D60C0E0" w14:textId="7E1506D3" w:rsidR="004322A8" w:rsidRDefault="00626A57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szCs w:val="24"/>
        </w:rPr>
      </w:pPr>
      <w:r w:rsidRPr="002454C3">
        <w:rPr>
          <w:szCs w:val="24"/>
          <w:u w:val="single"/>
        </w:rPr>
        <w:t>Enveloppe de référence </w:t>
      </w:r>
      <w:r>
        <w:rPr>
          <w:szCs w:val="24"/>
        </w:rPr>
        <w:t>: 8</w:t>
      </w:r>
      <w:r w:rsidR="003240EE">
        <w:rPr>
          <w:szCs w:val="24"/>
        </w:rPr>
        <w:t>4</w:t>
      </w:r>
      <w:r>
        <w:rPr>
          <w:szCs w:val="24"/>
        </w:rPr>
        <w:t>,</w:t>
      </w:r>
      <w:r w:rsidR="003240EE">
        <w:rPr>
          <w:szCs w:val="24"/>
        </w:rPr>
        <w:t>86</w:t>
      </w:r>
      <w:r>
        <w:rPr>
          <w:szCs w:val="24"/>
        </w:rPr>
        <w:t>M€</w:t>
      </w:r>
      <w:r w:rsidR="004322A8">
        <w:rPr>
          <w:szCs w:val="24"/>
        </w:rPr>
        <w:tab/>
      </w:r>
      <w:r w:rsidR="004322A8">
        <w:rPr>
          <w:szCs w:val="24"/>
        </w:rPr>
        <w:tab/>
      </w:r>
      <w:r w:rsidR="005B0205" w:rsidRPr="002454C3">
        <w:rPr>
          <w:szCs w:val="24"/>
          <w:u w:val="single"/>
        </w:rPr>
        <w:t>Montant des besoins</w:t>
      </w:r>
      <w:r w:rsidR="008E1477">
        <w:rPr>
          <w:szCs w:val="24"/>
          <w:u w:val="single"/>
        </w:rPr>
        <w:t xml:space="preserve"> exprimés</w:t>
      </w:r>
      <w:r w:rsidR="008E1477">
        <w:rPr>
          <w:szCs w:val="24"/>
        </w:rPr>
        <w:t xml:space="preserve"> </w:t>
      </w:r>
      <w:r w:rsidR="00FC4CED">
        <w:rPr>
          <w:szCs w:val="24"/>
        </w:rPr>
        <w:t xml:space="preserve">: </w:t>
      </w:r>
      <w:r w:rsidR="003240EE">
        <w:rPr>
          <w:szCs w:val="24"/>
        </w:rPr>
        <w:t xml:space="preserve">86,86M€ </w:t>
      </w:r>
    </w:p>
    <w:p w14:paraId="33D44EF5" w14:textId="7C16F6DD" w:rsidR="004322A8" w:rsidRDefault="005B0205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szCs w:val="24"/>
        </w:rPr>
      </w:pPr>
      <w:r w:rsidRPr="002454C3">
        <w:rPr>
          <w:szCs w:val="24"/>
          <w:u w:val="single"/>
        </w:rPr>
        <w:t>E</w:t>
      </w:r>
      <w:r w:rsidR="00B6440A" w:rsidRPr="002454C3">
        <w:rPr>
          <w:szCs w:val="24"/>
          <w:u w:val="single"/>
        </w:rPr>
        <w:t>nveloppes limitatives</w:t>
      </w:r>
      <w:r w:rsidRPr="002454C3">
        <w:rPr>
          <w:szCs w:val="24"/>
          <w:u w:val="single"/>
        </w:rPr>
        <w:t> </w:t>
      </w:r>
      <w:r w:rsidR="008E1477">
        <w:rPr>
          <w:szCs w:val="24"/>
        </w:rPr>
        <w:t>: 87,</w:t>
      </w:r>
      <w:r w:rsidR="003240EE">
        <w:rPr>
          <w:szCs w:val="24"/>
        </w:rPr>
        <w:t>88</w:t>
      </w:r>
      <w:r w:rsidR="008E1477">
        <w:rPr>
          <w:szCs w:val="24"/>
        </w:rPr>
        <w:t>M€ soit 1,</w:t>
      </w:r>
      <w:r w:rsidR="003240EE">
        <w:rPr>
          <w:szCs w:val="24"/>
        </w:rPr>
        <w:t>02</w:t>
      </w:r>
      <w:r w:rsidR="008E1477">
        <w:rPr>
          <w:szCs w:val="24"/>
        </w:rPr>
        <w:t>M€ au</w:t>
      </w:r>
      <w:r w:rsidR="00794C5C" w:rsidRPr="00794C5C">
        <w:rPr>
          <w:szCs w:val="24"/>
        </w:rPr>
        <w:t>-</w:t>
      </w:r>
      <w:r>
        <w:rPr>
          <w:szCs w:val="24"/>
        </w:rPr>
        <w:t xml:space="preserve">delà des </w:t>
      </w:r>
      <w:r w:rsidR="007550D2">
        <w:rPr>
          <w:szCs w:val="24"/>
        </w:rPr>
        <w:t>besoins exprimés par les postes</w:t>
      </w:r>
      <w:r w:rsidR="004322A8" w:rsidRPr="004322A8">
        <w:rPr>
          <w:szCs w:val="24"/>
        </w:rPr>
        <w:t xml:space="preserve"> </w:t>
      </w:r>
    </w:p>
    <w:p w14:paraId="72E5D0F6" w14:textId="0E8D529C" w:rsidR="004322A8" w:rsidRDefault="004322A8" w:rsidP="004C5C5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szCs w:val="24"/>
        </w:rPr>
      </w:pPr>
      <w:r w:rsidRPr="00794C5C">
        <w:rPr>
          <w:szCs w:val="24"/>
          <w:u w:val="single"/>
        </w:rPr>
        <w:t>Nombre de boursiers </w:t>
      </w:r>
      <w:r w:rsidRPr="00794C5C">
        <w:rPr>
          <w:szCs w:val="24"/>
        </w:rPr>
        <w:t>: 20</w:t>
      </w:r>
      <w:r w:rsidR="00794C5C">
        <w:rPr>
          <w:szCs w:val="24"/>
        </w:rPr>
        <w:t> </w:t>
      </w:r>
      <w:r w:rsidR="003240EE" w:rsidRPr="00794C5C">
        <w:rPr>
          <w:szCs w:val="24"/>
        </w:rPr>
        <w:t>0</w:t>
      </w:r>
      <w:r w:rsidR="00794C5C">
        <w:rPr>
          <w:szCs w:val="24"/>
        </w:rPr>
        <w:t>15 (-1,8%)</w:t>
      </w:r>
      <w:r w:rsidRPr="00794C5C">
        <w:rPr>
          <w:szCs w:val="24"/>
        </w:rPr>
        <w:t xml:space="preserve"> </w:t>
      </w:r>
      <w:r>
        <w:rPr>
          <w:szCs w:val="24"/>
        </w:rPr>
        <w:t xml:space="preserve">pour un </w:t>
      </w:r>
      <w:r w:rsidRPr="003B7518">
        <w:rPr>
          <w:rFonts w:asciiTheme="minorHAnsi" w:hAnsiTheme="minorHAnsi"/>
          <w:sz w:val="22"/>
          <w:szCs w:val="22"/>
        </w:rPr>
        <w:t>montant</w:t>
      </w:r>
      <w:r>
        <w:rPr>
          <w:szCs w:val="24"/>
        </w:rPr>
        <w:t xml:space="preserve"> de </w:t>
      </w:r>
      <w:r w:rsidR="00794C5C">
        <w:rPr>
          <w:szCs w:val="24"/>
        </w:rPr>
        <w:t>84,</w:t>
      </w:r>
      <w:r w:rsidR="003B2A7D">
        <w:rPr>
          <w:szCs w:val="24"/>
        </w:rPr>
        <w:t>8</w:t>
      </w:r>
      <w:r w:rsidR="00794C5C">
        <w:rPr>
          <w:szCs w:val="24"/>
        </w:rPr>
        <w:t xml:space="preserve">M€ (83,2 N-1) </w:t>
      </w:r>
      <w:r w:rsidR="0035744D">
        <w:rPr>
          <w:szCs w:val="24"/>
        </w:rPr>
        <w:t xml:space="preserve">- </w:t>
      </w:r>
      <w:r w:rsidR="00794C5C">
        <w:rPr>
          <w:szCs w:val="24"/>
        </w:rPr>
        <w:t>1535 ajournement</w:t>
      </w:r>
      <w:r w:rsidR="007550D2">
        <w:rPr>
          <w:szCs w:val="24"/>
        </w:rPr>
        <w:t>s</w:t>
      </w:r>
      <w:r w:rsidR="00794C5C">
        <w:rPr>
          <w:szCs w:val="24"/>
        </w:rPr>
        <w:t xml:space="preserve">, 2041 rejets. </w:t>
      </w:r>
      <w:r w:rsidR="0035744D">
        <w:rPr>
          <w:szCs w:val="24"/>
        </w:rPr>
        <w:t xml:space="preserve">Coût moyen boursier : </w:t>
      </w:r>
      <w:r w:rsidR="00794C5C">
        <w:rPr>
          <w:szCs w:val="24"/>
        </w:rPr>
        <w:t xml:space="preserve">4 235€ contre </w:t>
      </w:r>
      <w:r w:rsidR="00C6213C">
        <w:rPr>
          <w:szCs w:val="24"/>
        </w:rPr>
        <w:t>4</w:t>
      </w:r>
      <w:r w:rsidR="008E1477">
        <w:rPr>
          <w:szCs w:val="24"/>
        </w:rPr>
        <w:t xml:space="preserve"> </w:t>
      </w:r>
      <w:r w:rsidR="00C6213C">
        <w:rPr>
          <w:szCs w:val="24"/>
        </w:rPr>
        <w:t>077€</w:t>
      </w:r>
      <w:r w:rsidR="007550D2">
        <w:rPr>
          <w:szCs w:val="24"/>
        </w:rPr>
        <w:t xml:space="preserve"> l’année précédente</w:t>
      </w:r>
    </w:p>
    <w:p w14:paraId="729B7C8B" w14:textId="77777777" w:rsidR="000F054D" w:rsidRPr="005B40C1" w:rsidRDefault="000F054D" w:rsidP="004C5C50">
      <w:pPr>
        <w:pStyle w:val="Corpsdetexte"/>
        <w:rPr>
          <w:rFonts w:asciiTheme="minorHAnsi" w:hAnsiTheme="minorHAnsi"/>
          <w:color w:val="3366FF"/>
          <w:sz w:val="16"/>
          <w:szCs w:val="16"/>
        </w:rPr>
      </w:pPr>
    </w:p>
    <w:p w14:paraId="5205C26D" w14:textId="77777777" w:rsidR="001B377E" w:rsidRPr="005B40C1" w:rsidRDefault="001B377E" w:rsidP="004C5C50">
      <w:pPr>
        <w:pStyle w:val="Corpsdetexte"/>
        <w:rPr>
          <w:rFonts w:asciiTheme="minorHAnsi" w:hAnsiTheme="minorHAnsi"/>
          <w:color w:val="3366FF"/>
          <w:sz w:val="16"/>
          <w:szCs w:val="16"/>
        </w:rPr>
      </w:pPr>
    </w:p>
    <w:p w14:paraId="4200B906" w14:textId="14EF957F" w:rsidR="000F054D" w:rsidRPr="009E0604" w:rsidRDefault="007550D2" w:rsidP="00C76733">
      <w:pPr>
        <w:shd w:val="clear" w:color="auto" w:fill="D9D9D9" w:themeFill="background1" w:themeFillShade="D9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9E0604">
        <w:rPr>
          <w:rFonts w:asciiTheme="minorHAnsi" w:hAnsiTheme="minorHAnsi"/>
          <w:b/>
          <w:color w:val="0070C0"/>
          <w:sz w:val="28"/>
          <w:szCs w:val="28"/>
        </w:rPr>
        <w:t>Attributions par z</w:t>
      </w:r>
      <w:r w:rsidR="000F054D" w:rsidRPr="009E0604">
        <w:rPr>
          <w:rFonts w:asciiTheme="minorHAnsi" w:hAnsiTheme="minorHAnsi"/>
          <w:b/>
          <w:color w:val="0070C0"/>
          <w:sz w:val="28"/>
          <w:szCs w:val="28"/>
        </w:rPr>
        <w:t>ones géographiques</w:t>
      </w:r>
    </w:p>
    <w:p w14:paraId="30C6E476" w14:textId="77777777" w:rsidR="000F054D" w:rsidRPr="00BE7171" w:rsidRDefault="000F054D" w:rsidP="004C5C5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9374F11" w14:textId="20C9C486" w:rsidR="000F054D" w:rsidRPr="00C014FE" w:rsidRDefault="005741C8" w:rsidP="004C5C5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t>Ce tableau</w:t>
      </w:r>
      <w:r w:rsidR="000F054D" w:rsidRPr="00C014FE">
        <w:rPr>
          <w:rFonts w:asciiTheme="minorHAnsi" w:hAnsiTheme="minorHAnsi"/>
          <w:sz w:val="22"/>
          <w:szCs w:val="22"/>
        </w:rPr>
        <w:t xml:space="preserve"> reflète la situation à l’issue de</w:t>
      </w:r>
      <w:r w:rsidR="003A0B22" w:rsidRPr="003A0B2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A0B22" w:rsidRPr="002F223B">
        <w:rPr>
          <w:rFonts w:asciiTheme="minorHAnsi" w:hAnsiTheme="minorHAnsi"/>
          <w:sz w:val="22"/>
          <w:szCs w:val="22"/>
        </w:rPr>
        <w:t>la</w:t>
      </w:r>
      <w:r w:rsidR="000F054D" w:rsidRPr="003A0B2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A0B22">
        <w:rPr>
          <w:rFonts w:asciiTheme="minorHAnsi" w:hAnsiTheme="minorHAnsi"/>
          <w:sz w:val="22"/>
          <w:szCs w:val="22"/>
        </w:rPr>
        <w:t xml:space="preserve">CNB du mois de juin, </w:t>
      </w:r>
      <w:r w:rsidR="003A0B22" w:rsidRPr="002F223B">
        <w:rPr>
          <w:rFonts w:asciiTheme="minorHAnsi" w:hAnsiTheme="minorHAnsi"/>
          <w:sz w:val="22"/>
          <w:szCs w:val="22"/>
        </w:rPr>
        <w:t>l</w:t>
      </w:r>
      <w:r w:rsidR="000F054D" w:rsidRPr="00C014FE">
        <w:rPr>
          <w:rFonts w:asciiTheme="minorHAnsi" w:hAnsiTheme="minorHAnsi"/>
          <w:sz w:val="22"/>
          <w:szCs w:val="22"/>
        </w:rPr>
        <w:t>es chiffres ne tiennent pas compte des demandes tardives, des recours et dossiers traités hors commission</w:t>
      </w:r>
      <w:r w:rsidR="003A0B22" w:rsidRPr="002F223B">
        <w:rPr>
          <w:rFonts w:asciiTheme="minorHAnsi" w:hAnsiTheme="minorHAnsi"/>
          <w:sz w:val="22"/>
          <w:szCs w:val="22"/>
        </w:rPr>
        <w:t>/conseil</w:t>
      </w:r>
      <w:r w:rsidR="000F054D" w:rsidRPr="00C014FE">
        <w:rPr>
          <w:rFonts w:asciiTheme="minorHAnsi" w:hAnsiTheme="minorHAnsi"/>
          <w:sz w:val="24"/>
          <w:szCs w:val="24"/>
        </w:rPr>
        <w:t>.</w:t>
      </w:r>
    </w:p>
    <w:p w14:paraId="39E134F7" w14:textId="77777777" w:rsidR="000F054D" w:rsidRPr="00BE7171" w:rsidRDefault="000F054D" w:rsidP="004C5C50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850"/>
        <w:gridCol w:w="1134"/>
        <w:gridCol w:w="1134"/>
        <w:gridCol w:w="993"/>
        <w:gridCol w:w="1134"/>
        <w:gridCol w:w="992"/>
        <w:gridCol w:w="1134"/>
        <w:gridCol w:w="1134"/>
      </w:tblGrid>
      <w:tr w:rsidR="008E1477" w:rsidRPr="00946AEF" w14:paraId="18E608D8" w14:textId="77777777" w:rsidTr="009E0604">
        <w:trPr>
          <w:trHeight w:val="647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9AFE4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946AEF">
              <w:rPr>
                <w:rFonts w:asciiTheme="minorHAnsi" w:hAnsiTheme="minorHAnsi"/>
                <w:b/>
                <w:bCs/>
                <w:i/>
                <w:iCs/>
              </w:rPr>
              <w:t xml:space="preserve">Secteur </w:t>
            </w:r>
            <w:r w:rsidRPr="00946AEF">
              <w:rPr>
                <w:rFonts w:asciiTheme="minorHAnsi" w:hAnsiTheme="minorHAnsi"/>
                <w:b/>
                <w:bCs/>
                <w:i/>
                <w:iCs/>
              </w:rPr>
              <w:br/>
              <w:t>géographique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9D6E3B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Nb postes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9AB44F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Nb boursiers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39A" w14:textId="755BD940" w:rsidR="00C61F98" w:rsidRPr="00946AEF" w:rsidRDefault="00C61F98" w:rsidP="004C5C50">
            <w:pPr>
              <w:jc w:val="center"/>
              <w:rPr>
                <w:rFonts w:asciiTheme="minorHAnsi" w:hAnsiTheme="minorHAnsi"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 xml:space="preserve">% </w:t>
            </w:r>
            <w:r w:rsidR="00A67046">
              <w:rPr>
                <w:rFonts w:asciiTheme="minorHAnsi" w:hAnsiTheme="minorHAnsi"/>
                <w:b/>
                <w:bCs/>
              </w:rPr>
              <w:t>des</w:t>
            </w:r>
            <w:r w:rsidRPr="00946AEF">
              <w:rPr>
                <w:rFonts w:asciiTheme="minorHAnsi" w:hAnsiTheme="minorHAnsi"/>
                <w:b/>
                <w:bCs/>
              </w:rPr>
              <w:t xml:space="preserve"> boursiers</w:t>
            </w:r>
            <w:r w:rsidR="00A67046">
              <w:rPr>
                <w:rFonts w:asciiTheme="minorHAnsi" w:hAnsiTheme="minorHAnsi"/>
                <w:b/>
                <w:bCs/>
              </w:rPr>
              <w:t xml:space="preserve"> RN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D689CF" w14:textId="2B5F404B" w:rsidR="00C61F98" w:rsidRPr="00946AEF" w:rsidRDefault="00C61F98" w:rsidP="004C5C50">
            <w:pPr>
              <w:jc w:val="center"/>
              <w:rPr>
                <w:rFonts w:asciiTheme="minorHAnsi" w:hAnsiTheme="minorHAnsi"/>
                <w:bCs/>
              </w:rPr>
            </w:pPr>
            <w:r w:rsidRPr="00946AEF">
              <w:rPr>
                <w:rFonts w:asciiTheme="minorHAnsi" w:hAnsiTheme="minorHAnsi"/>
                <w:bCs/>
              </w:rPr>
              <w:t>Rappel 06/201</w:t>
            </w:r>
            <w:r w:rsidR="00A67046">
              <w:rPr>
                <w:rFonts w:asciiTheme="minorHAnsi" w:hAnsiTheme="minorHAnsi"/>
                <w:bCs/>
              </w:rPr>
              <w:t>8</w:t>
            </w:r>
            <w:r w:rsidRPr="00946AEF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71B340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Montants en M€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F66B0E" w14:textId="1B1EEB80" w:rsidR="00C61F98" w:rsidRPr="00946AEF" w:rsidRDefault="00C61F98" w:rsidP="004C5C50">
            <w:pPr>
              <w:jc w:val="center"/>
              <w:rPr>
                <w:rFonts w:asciiTheme="minorHAnsi" w:hAnsiTheme="minorHAnsi"/>
                <w:bCs/>
              </w:rPr>
            </w:pPr>
            <w:r w:rsidRPr="00946AEF">
              <w:rPr>
                <w:rFonts w:asciiTheme="minorHAnsi" w:hAnsiTheme="minorHAnsi"/>
                <w:bCs/>
              </w:rPr>
              <w:t>Rappel 06/201</w:t>
            </w:r>
            <w:r w:rsidR="00A67046">
              <w:rPr>
                <w:rFonts w:asciiTheme="minorHAnsi" w:hAnsiTheme="minorHAnsi"/>
                <w:bCs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5B287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Coût moyen boursier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114ED8F6" w14:textId="5B574660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Cs/>
              </w:rPr>
              <w:t>Rappel 06/201</w:t>
            </w:r>
            <w:r w:rsidR="00A67046">
              <w:rPr>
                <w:rFonts w:asciiTheme="minorHAnsi" w:hAnsiTheme="minorHAnsi"/>
                <w:bCs/>
              </w:rPr>
              <w:t>8</w:t>
            </w:r>
          </w:p>
        </w:tc>
      </w:tr>
      <w:tr w:rsidR="008E1477" w:rsidRPr="00946AEF" w14:paraId="5E083669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1824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Asie Océanie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F679" w14:textId="0DE3F5BB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27D1" w14:textId="46F6EC75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1 903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F0B" w14:textId="24779946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9,</w:t>
            </w:r>
            <w:r w:rsidR="00A67046">
              <w:rPr>
                <w:rFonts w:asciiTheme="minorHAnsi" w:hAnsiTheme="minorHAnsi"/>
              </w:rPr>
              <w:t>5</w:t>
            </w:r>
            <w:r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A0C50D" w14:textId="06A4AE67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1 863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4536" w14:textId="054A6F79" w:rsidR="00C61F98" w:rsidRPr="00946AEF" w:rsidRDefault="00A67046" w:rsidP="008E14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CFF904" w14:textId="324FF10E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0E478" w14:textId="2AE774C5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5 681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0D99BD84" w14:textId="24010DF9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5</w:t>
            </w:r>
            <w:r w:rsidR="00A5214B">
              <w:rPr>
                <w:rFonts w:asciiTheme="minorHAnsi" w:hAnsiTheme="minorHAnsi"/>
              </w:rPr>
              <w:t> </w:t>
            </w:r>
            <w:r w:rsidRPr="00946AEF">
              <w:rPr>
                <w:rFonts w:asciiTheme="minorHAnsi" w:hAnsiTheme="minorHAnsi"/>
              </w:rPr>
              <w:t>355</w:t>
            </w:r>
            <w:r w:rsidR="00A5214B">
              <w:rPr>
                <w:rFonts w:asciiTheme="minorHAnsi" w:hAnsiTheme="minorHAnsi"/>
              </w:rPr>
              <w:t>€</w:t>
            </w:r>
          </w:p>
        </w:tc>
      </w:tr>
      <w:tr w:rsidR="008E1477" w:rsidRPr="00946AEF" w14:paraId="5A3F6FA6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4297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Moyen Orient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A300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127D" w14:textId="4BB14BFB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1 492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6EE" w14:textId="543CD611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7,45</w:t>
            </w:r>
            <w:r w:rsidR="00C61F98"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8F9A46" w14:textId="3BC1B3F4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1 410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6C55" w14:textId="4185F704" w:rsidR="00C61F98" w:rsidRPr="00946AEF" w:rsidRDefault="00C61F98" w:rsidP="008E1477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6,</w:t>
            </w:r>
            <w:r w:rsidR="00A5214B" w:rsidRPr="00946AEF">
              <w:rPr>
                <w:rFonts w:asciiTheme="minorHAnsi" w:hAnsiTheme="minorHAnsi"/>
              </w:rPr>
              <w:t xml:space="preserve"> </w:t>
            </w:r>
            <w:r w:rsidRPr="00946AEF">
              <w:rPr>
                <w:rFonts w:asciiTheme="minorHAnsi" w:hAnsiTheme="minorHAns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2EF137" w14:textId="09002B2B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6,</w:t>
            </w:r>
            <w:r w:rsidR="00A5214B">
              <w:rPr>
                <w:rFonts w:asciiTheme="minorHAnsi" w:hAnsiTheme="minorHAnsi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89A07" w14:textId="3B46364F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4 218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6B69F095" w14:textId="2F953643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 </w:t>
            </w:r>
            <w:r w:rsidRPr="00946AEF">
              <w:rPr>
                <w:rFonts w:asciiTheme="minorHAnsi" w:hAnsiTheme="minorHAnsi"/>
              </w:rPr>
              <w:t>455</w:t>
            </w:r>
            <w:r>
              <w:rPr>
                <w:rFonts w:asciiTheme="minorHAnsi" w:hAnsiTheme="minorHAnsi"/>
              </w:rPr>
              <w:t>€</w:t>
            </w:r>
          </w:p>
        </w:tc>
      </w:tr>
      <w:tr w:rsidR="008E1477" w:rsidRPr="00946AEF" w14:paraId="6145177A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B2652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Europe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9EAAA" w14:textId="4E64F92D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4</w:t>
            </w:r>
            <w:r w:rsidR="00041B87">
              <w:rPr>
                <w:rFonts w:asciiTheme="minorHAnsi" w:hAnsi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2B30" w14:textId="08DFA1DE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4 149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973" w14:textId="7FADD97E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20,72</w:t>
            </w:r>
            <w:r w:rsidR="00C61F98"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7E98E4" w14:textId="73B0E38A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4 235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CD3" w14:textId="2101F570" w:rsidR="00C61F98" w:rsidRPr="00946AEF" w:rsidRDefault="00041B87" w:rsidP="008E14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0AA94C2" w14:textId="6C8A08AB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9A29B" w14:textId="255ABF9D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4 556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17FDCC4" w14:textId="45C788FD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 </w:t>
            </w:r>
            <w:r w:rsidRPr="00946AEF">
              <w:rPr>
                <w:rFonts w:asciiTheme="minorHAnsi" w:hAnsiTheme="minorHAnsi"/>
              </w:rPr>
              <w:t>449</w:t>
            </w:r>
            <w:r>
              <w:rPr>
                <w:rFonts w:asciiTheme="minorHAnsi" w:hAnsiTheme="minorHAnsi"/>
              </w:rPr>
              <w:t>€</w:t>
            </w:r>
            <w:r w:rsidR="00C61F98" w:rsidRPr="00946AEF">
              <w:rPr>
                <w:rFonts w:asciiTheme="minorHAnsi" w:hAnsiTheme="minorHAnsi"/>
              </w:rPr>
              <w:t xml:space="preserve"> </w:t>
            </w:r>
          </w:p>
        </w:tc>
      </w:tr>
      <w:tr w:rsidR="008E1477" w:rsidRPr="00946AEF" w14:paraId="1FC82588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A014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 xml:space="preserve">Afrique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E34D" w14:textId="27065092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4</w:t>
            </w:r>
            <w:r w:rsidR="00A5214B">
              <w:rPr>
                <w:rFonts w:asciiTheme="minorHAnsi" w:hAnsi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D81C" w14:textId="620A292D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7 212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3E4" w14:textId="4B9B17C7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  <w:r w:rsidR="00C61F98"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C00645" w14:textId="0E7A5D3D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7 409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A1A" w14:textId="542CB050" w:rsidR="00C61F98" w:rsidRPr="00946AEF" w:rsidRDefault="00C61F98" w:rsidP="008E1477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23,</w:t>
            </w:r>
            <w:r w:rsidR="00A5214B">
              <w:rPr>
                <w:rFonts w:asciiTheme="minorHAnsi" w:hAnsiTheme="minorHAnsi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022D28" w14:textId="58A94453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2</w:t>
            </w:r>
            <w:r w:rsidR="00A5214B">
              <w:rPr>
                <w:rFonts w:asciiTheme="minorHAnsi" w:hAnsiTheme="minorHAnsi"/>
              </w:rPr>
              <w:t>3</w:t>
            </w:r>
            <w:r w:rsidRPr="00946AEF">
              <w:rPr>
                <w:rFonts w:asciiTheme="minorHAnsi" w:hAnsiTheme="minorHAnsi"/>
              </w:rPr>
              <w:t>,</w:t>
            </w:r>
            <w:r w:rsidR="00A5214B">
              <w:rPr>
                <w:rFonts w:asciiTheme="minorHAnsi" w:hAnsiTheme="minorHAn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B3F14" w14:textId="231977B1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3 279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CFFE385" w14:textId="2B86AA70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 </w:t>
            </w:r>
            <w:r w:rsidRPr="00946AEF">
              <w:rPr>
                <w:rFonts w:asciiTheme="minorHAnsi" w:hAnsiTheme="minorHAnsi"/>
              </w:rPr>
              <w:t>186</w:t>
            </w:r>
            <w:r>
              <w:rPr>
                <w:rFonts w:asciiTheme="minorHAnsi" w:hAnsiTheme="minorHAnsi"/>
              </w:rPr>
              <w:t>€</w:t>
            </w:r>
          </w:p>
        </w:tc>
      </w:tr>
      <w:tr w:rsidR="008E1477" w:rsidRPr="00946AEF" w14:paraId="6FC9B34C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9F6E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Afrique du Nord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34AD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9208" w14:textId="18007C98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3 207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E29" w14:textId="371B7369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C61F98"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B26B1C" w14:textId="42A6B7DD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3 292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DE33" w14:textId="3708EE70" w:rsidR="00C61F98" w:rsidRPr="00946AEF" w:rsidRDefault="00A5214B" w:rsidP="008E14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3030E1" w14:textId="64FA5C91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0063A" w14:textId="35F06809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2 937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28B946B" w14:textId="7A2A71E1" w:rsidR="00C61F98" w:rsidRPr="00946AEF" w:rsidRDefault="00A5214B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 </w:t>
            </w:r>
            <w:r w:rsidRPr="00946AEF">
              <w:rPr>
                <w:rFonts w:asciiTheme="minorHAnsi" w:hAnsiTheme="minorHAnsi"/>
              </w:rPr>
              <w:t>755</w:t>
            </w:r>
            <w:r w:rsidR="00C61F98" w:rsidRPr="00946AEF">
              <w:rPr>
                <w:rFonts w:asciiTheme="minorHAnsi" w:hAnsiTheme="minorHAnsi"/>
              </w:rPr>
              <w:t xml:space="preserve">€ </w:t>
            </w:r>
          </w:p>
        </w:tc>
      </w:tr>
      <w:tr w:rsidR="008E1477" w:rsidRPr="00946AEF" w14:paraId="2B9288CB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5024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Amérique du Nord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2D59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98FC" w14:textId="46683999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35F" w14:textId="6DF79721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4,22</w:t>
            </w:r>
            <w:r w:rsidR="009A04A5"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36035B" w14:textId="79E63E8E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43F" w14:textId="1EF5DADB" w:rsidR="00C61F98" w:rsidRPr="00946AEF" w:rsidRDefault="00041B87" w:rsidP="008E14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B1827A" w14:textId="4B9B1E00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76800" w14:textId="626EE5CE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10 830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228D8E23" w14:textId="1B6F79F2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10 604</w:t>
            </w:r>
            <w:r w:rsidR="00C61F98" w:rsidRPr="00946AEF">
              <w:rPr>
                <w:rFonts w:asciiTheme="minorHAnsi" w:hAnsiTheme="minorHAnsi"/>
              </w:rPr>
              <w:t xml:space="preserve">€ </w:t>
            </w:r>
          </w:p>
        </w:tc>
      </w:tr>
      <w:tr w:rsidR="008E1477" w:rsidRPr="00946AEF" w14:paraId="70B951DB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9070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Amérique Latine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F779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AE2E" w14:textId="47258D32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1 206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0A8" w14:textId="5EEA3ECD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 </w:t>
            </w:r>
            <w:r w:rsidR="009A04A5" w:rsidRPr="00946AEF">
              <w:rPr>
                <w:rFonts w:asciiTheme="minorHAnsi" w:hAnsi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881D9F" w14:textId="06A6A46A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 </w:t>
            </w:r>
            <w:r w:rsidRPr="00946AEF">
              <w:rPr>
                <w:rFonts w:asciiTheme="minorHAnsi" w:hAnsiTheme="minorHAnsi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645" w14:textId="77777777" w:rsidR="00C61F98" w:rsidRPr="00946AEF" w:rsidRDefault="00C61F98" w:rsidP="008E1477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F9DFCF" w14:textId="4DA6455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5,6</w:t>
            </w:r>
            <w:r w:rsidR="00041B87"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BF1A1" w14:textId="5283BB06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4 744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C41507A" w14:textId="495FB31B" w:rsidR="00C61F98" w:rsidRPr="00946AEF" w:rsidRDefault="00041B87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4 477</w:t>
            </w:r>
            <w:r w:rsidR="00C61F98" w:rsidRPr="00946AEF">
              <w:rPr>
                <w:rFonts w:asciiTheme="minorHAnsi" w:hAnsiTheme="minorHAnsi"/>
              </w:rPr>
              <w:t xml:space="preserve">€ </w:t>
            </w:r>
          </w:p>
        </w:tc>
      </w:tr>
      <w:tr w:rsidR="008E1477" w:rsidRPr="00946AEF" w14:paraId="7D34C279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20F1" w14:textId="77777777" w:rsidR="00C61F98" w:rsidRPr="00946AEF" w:rsidRDefault="00C61F98" w:rsidP="004C5C50">
            <w:pPr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Rythme sud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A8410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F7F7F"/>
              <w:right w:val="single" w:sz="4" w:space="0" w:color="auto"/>
            </w:tcBorders>
            <w:shd w:val="clear" w:color="auto" w:fill="auto"/>
            <w:vAlign w:val="center"/>
          </w:tcPr>
          <w:p w14:paraId="1C990A5E" w14:textId="166C9906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1 627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8699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4B7C3D" w14:textId="56E22691" w:rsidR="00C61F98" w:rsidRPr="00946AEF" w:rsidRDefault="005B40C1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623" w14:textId="48D70148" w:rsidR="00C61F98" w:rsidRPr="00946AEF" w:rsidRDefault="00A67046" w:rsidP="008E14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601EB9" w14:textId="65AAA28D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10,35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14:paraId="0787692A" w14:textId="5EA70A1E" w:rsidR="00C61F98" w:rsidRPr="00946AEF" w:rsidRDefault="00C61F98" w:rsidP="004C5C50">
            <w:pPr>
              <w:jc w:val="center"/>
              <w:rPr>
                <w:rFonts w:asciiTheme="minorHAnsi" w:hAnsiTheme="minorHAnsi"/>
              </w:rPr>
            </w:pPr>
            <w:r w:rsidRPr="00946AEF">
              <w:rPr>
                <w:rFonts w:asciiTheme="minorHAnsi" w:hAnsiTheme="minorHAnsi"/>
              </w:rPr>
              <w:t>6 0</w:t>
            </w:r>
            <w:r w:rsidR="00A67046">
              <w:rPr>
                <w:rFonts w:asciiTheme="minorHAnsi" w:hAnsiTheme="minorHAnsi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7F7F7F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0DA2E72" w14:textId="77670213" w:rsidR="00C61F98" w:rsidRPr="00946AEF" w:rsidRDefault="00A67046" w:rsidP="004C5C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6 058</w:t>
            </w:r>
            <w:r w:rsidR="00C61F98" w:rsidRPr="00946AEF">
              <w:rPr>
                <w:rFonts w:asciiTheme="minorHAnsi" w:hAnsiTheme="minorHAnsi"/>
              </w:rPr>
              <w:t xml:space="preserve">€ </w:t>
            </w:r>
          </w:p>
        </w:tc>
      </w:tr>
      <w:tr w:rsidR="009E0604" w:rsidRPr="00946AEF" w14:paraId="0BD29476" w14:textId="77777777" w:rsidTr="009E0604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58DEC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27B37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="Cambria" w:hAnsi="Cambria"/>
                <w:b/>
                <w:bCs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DB6CA" w14:textId="68CF00D0" w:rsidR="00C61F98" w:rsidRPr="00946AEF" w:rsidRDefault="00041B87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21 642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A13A2" w14:textId="77777777" w:rsidR="00C61F98" w:rsidRPr="00946AEF" w:rsidRDefault="00C61F98" w:rsidP="004C5C50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02D29" w14:textId="50FC254D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="Cambria" w:hAnsi="Cambria"/>
                <w:b/>
                <w:bCs/>
                <w:color w:val="000000"/>
              </w:rPr>
              <w:t>22 </w:t>
            </w:r>
            <w:r w:rsidR="00041B87">
              <w:rPr>
                <w:rFonts w:ascii="Cambria" w:hAnsi="Cambria"/>
                <w:b/>
                <w:bCs/>
                <w:color w:val="000000"/>
              </w:rPr>
              <w:t>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12263" w14:textId="6F36FA37" w:rsidR="00C61F98" w:rsidRPr="00946AEF" w:rsidRDefault="00041B87" w:rsidP="008E1477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0F50D" w14:textId="2A6DFB4B" w:rsidR="00C61F98" w:rsidRPr="00946AEF" w:rsidRDefault="00041B87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="Cambria" w:hAnsi="Cambria"/>
                <w:b/>
                <w:bCs/>
                <w:color w:val="000000"/>
              </w:rPr>
              <w:t>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5B956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23C1E8" w14:textId="77777777" w:rsidR="00C61F98" w:rsidRPr="00946AEF" w:rsidRDefault="00C61F98" w:rsidP="004C5C5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6AEF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</w:tbl>
    <w:p w14:paraId="289628AB" w14:textId="77777777" w:rsidR="000F054D" w:rsidRPr="00B6440A" w:rsidRDefault="000F054D" w:rsidP="004C5C50">
      <w:pPr>
        <w:jc w:val="both"/>
        <w:rPr>
          <w:rFonts w:asciiTheme="minorHAnsi" w:hAnsiTheme="minorHAnsi"/>
          <w:b/>
          <w:color w:val="3366FF"/>
          <w:sz w:val="24"/>
          <w:szCs w:val="24"/>
        </w:rPr>
      </w:pPr>
    </w:p>
    <w:p w14:paraId="23A2EBA2" w14:textId="77777777" w:rsidR="00462DC6" w:rsidRDefault="00462DC6" w:rsidP="004C5C50">
      <w:pPr>
        <w:pStyle w:val="Corpsdetexte"/>
        <w:rPr>
          <w:sz w:val="18"/>
          <w:szCs w:val="18"/>
        </w:rPr>
      </w:pPr>
    </w:p>
    <w:p w14:paraId="7DB0943B" w14:textId="77777777" w:rsidR="009E0604" w:rsidRPr="00C30F07" w:rsidRDefault="009E0604" w:rsidP="004C5C50">
      <w:pPr>
        <w:pStyle w:val="Corpsdetexte"/>
        <w:rPr>
          <w:sz w:val="18"/>
          <w:szCs w:val="18"/>
        </w:rPr>
      </w:pPr>
    </w:p>
    <w:p w14:paraId="3C367294" w14:textId="77777777" w:rsidR="003B7518" w:rsidRPr="00BE7171" w:rsidRDefault="003B7518" w:rsidP="00C76733">
      <w:pPr>
        <w:shd w:val="clear" w:color="auto" w:fill="D9D9D9" w:themeFill="background1" w:themeFillShade="D9"/>
        <w:rPr>
          <w:rFonts w:asciiTheme="minorHAnsi" w:hAnsiTheme="minorHAnsi"/>
          <w:b/>
          <w:sz w:val="24"/>
          <w:szCs w:val="24"/>
        </w:rPr>
      </w:pPr>
      <w:r w:rsidRPr="00BE7171">
        <w:rPr>
          <w:rFonts w:asciiTheme="minorHAnsi" w:hAnsiTheme="minorHAnsi"/>
          <w:b/>
          <w:sz w:val="24"/>
          <w:szCs w:val="24"/>
        </w:rPr>
        <w:t xml:space="preserve">Ce qu’il faut retenir </w:t>
      </w:r>
    </w:p>
    <w:p w14:paraId="687078FE" w14:textId="77777777" w:rsidR="00BE7171" w:rsidRPr="00BE7171" w:rsidRDefault="00BE7171" w:rsidP="004C5C50">
      <w:pPr>
        <w:rPr>
          <w:rFonts w:asciiTheme="minorHAnsi" w:hAnsiTheme="minorHAnsi"/>
          <w:b/>
          <w:sz w:val="22"/>
          <w:szCs w:val="22"/>
        </w:rPr>
      </w:pPr>
    </w:p>
    <w:p w14:paraId="03818015" w14:textId="77777777" w:rsidR="00BE7171" w:rsidRPr="00BE7171" w:rsidRDefault="00BE7171" w:rsidP="007550D2">
      <w:pPr>
        <w:jc w:val="both"/>
        <w:rPr>
          <w:rFonts w:asciiTheme="minorHAnsi" w:hAnsiTheme="minorHAnsi"/>
          <w:b/>
          <w:sz w:val="22"/>
          <w:szCs w:val="22"/>
        </w:rPr>
      </w:pPr>
      <w:r w:rsidRPr="00BE7171">
        <w:rPr>
          <w:rFonts w:asciiTheme="minorHAnsi" w:hAnsiTheme="minorHAnsi"/>
          <w:b/>
          <w:sz w:val="22"/>
          <w:szCs w:val="22"/>
        </w:rPr>
        <w:t>Composition de la CNB</w:t>
      </w:r>
    </w:p>
    <w:p w14:paraId="4A8536B3" w14:textId="76F3A176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 xml:space="preserve">Le décret 2019.91 du 13 février 2019 modifie l’article 531.50 du Code de l’Éducation et supprime la représentation des parlementaires en CNB. Les députés </w:t>
      </w:r>
      <w:r w:rsidR="00891422" w:rsidRPr="00BE7171">
        <w:rPr>
          <w:rFonts w:asciiTheme="minorHAnsi" w:hAnsiTheme="minorHAnsi"/>
          <w:sz w:val="22"/>
          <w:szCs w:val="22"/>
        </w:rPr>
        <w:t xml:space="preserve">actuels </w:t>
      </w:r>
      <w:r w:rsidRPr="00BE7171">
        <w:rPr>
          <w:rFonts w:asciiTheme="minorHAnsi" w:hAnsiTheme="minorHAnsi"/>
          <w:sz w:val="22"/>
          <w:szCs w:val="22"/>
        </w:rPr>
        <w:t>en restent membres jusqu’à la fin de leur mandat</w:t>
      </w:r>
      <w:r w:rsidR="00A46F30">
        <w:rPr>
          <w:rFonts w:asciiTheme="minorHAnsi" w:hAnsiTheme="minorHAnsi"/>
          <w:sz w:val="22"/>
          <w:szCs w:val="22"/>
        </w:rPr>
        <w:t xml:space="preserve"> ce qui n’est pas le cas des sénateurs</w:t>
      </w:r>
      <w:r w:rsidRPr="00BE7171">
        <w:rPr>
          <w:rFonts w:asciiTheme="minorHAnsi" w:hAnsiTheme="minorHAnsi"/>
          <w:sz w:val="22"/>
          <w:szCs w:val="22"/>
        </w:rPr>
        <w:t>. Nous avons protesté devant cette décision qui prive la CNB d’expertise et des personnes qui votent les budgets.</w:t>
      </w:r>
    </w:p>
    <w:p w14:paraId="6B1A1155" w14:textId="77777777" w:rsidR="009E0604" w:rsidRDefault="009E0604" w:rsidP="007550D2">
      <w:pPr>
        <w:jc w:val="both"/>
        <w:rPr>
          <w:rFonts w:asciiTheme="minorHAnsi" w:hAnsiTheme="minorHAnsi"/>
          <w:sz w:val="22"/>
          <w:szCs w:val="22"/>
        </w:rPr>
      </w:pPr>
    </w:p>
    <w:p w14:paraId="5BEDCAFA" w14:textId="77777777" w:rsidR="00BE7171" w:rsidRPr="00BE7171" w:rsidRDefault="00BE7171" w:rsidP="007550D2">
      <w:pPr>
        <w:jc w:val="both"/>
        <w:rPr>
          <w:rFonts w:asciiTheme="minorHAnsi" w:hAnsiTheme="minorHAnsi"/>
          <w:sz w:val="22"/>
          <w:szCs w:val="22"/>
        </w:rPr>
      </w:pPr>
    </w:p>
    <w:p w14:paraId="49F9339B" w14:textId="77777777" w:rsidR="00BE7171" w:rsidRDefault="00BE7171" w:rsidP="00BE717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VAD</w:t>
      </w:r>
    </w:p>
    <w:p w14:paraId="76D1A05C" w14:textId="4820B44B" w:rsidR="00BE7171" w:rsidRPr="00BE7171" w:rsidRDefault="002F5236" w:rsidP="00BE717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81 </w:t>
      </w:r>
      <w:r w:rsidR="00BE7171" w:rsidRPr="00BE7171">
        <w:rPr>
          <w:rFonts w:asciiTheme="minorHAnsi" w:hAnsiTheme="minorHAnsi"/>
          <w:sz w:val="22"/>
          <w:szCs w:val="22"/>
        </w:rPr>
        <w:t>postes ont effectu</w:t>
      </w:r>
      <w:r w:rsidR="00BE7171" w:rsidRPr="00BE7171">
        <w:rPr>
          <w:rFonts w:asciiTheme="minorHAnsi" w:hAnsiTheme="minorHAnsi"/>
          <w:sz w:val="22"/>
          <w:szCs w:val="22"/>
          <w:lang w:eastAsia="ja-JP"/>
        </w:rPr>
        <w:t xml:space="preserve">é 937 visites à domicile. </w:t>
      </w:r>
    </w:p>
    <w:p w14:paraId="6301ECFE" w14:textId="77777777" w:rsidR="00BE7171" w:rsidRDefault="00BE7171" w:rsidP="007550D2">
      <w:pPr>
        <w:jc w:val="both"/>
        <w:rPr>
          <w:rFonts w:asciiTheme="minorHAnsi" w:hAnsiTheme="minorHAnsi"/>
          <w:sz w:val="22"/>
          <w:szCs w:val="22"/>
        </w:rPr>
      </w:pPr>
    </w:p>
    <w:p w14:paraId="06130223" w14:textId="77777777" w:rsidR="002F5236" w:rsidRPr="002F5236" w:rsidRDefault="002F5236" w:rsidP="002F5236">
      <w:pPr>
        <w:jc w:val="both"/>
        <w:rPr>
          <w:rFonts w:asciiTheme="minorHAnsi" w:hAnsiTheme="minorHAnsi"/>
          <w:b/>
          <w:sz w:val="22"/>
          <w:szCs w:val="22"/>
        </w:rPr>
      </w:pPr>
      <w:r w:rsidRPr="002F5236">
        <w:rPr>
          <w:rFonts w:asciiTheme="minorHAnsi" w:hAnsiTheme="minorHAnsi"/>
          <w:b/>
          <w:sz w:val="22"/>
          <w:szCs w:val="22"/>
        </w:rPr>
        <w:t>Recours contentieux</w:t>
      </w:r>
    </w:p>
    <w:p w14:paraId="64CF65CE" w14:textId="6347BDA9" w:rsidR="00BE7171" w:rsidRDefault="002F5236" w:rsidP="002F5236">
      <w:pPr>
        <w:jc w:val="both"/>
        <w:rPr>
          <w:rFonts w:asciiTheme="minorHAnsi" w:hAnsiTheme="minorHAnsi"/>
          <w:sz w:val="22"/>
          <w:szCs w:val="22"/>
        </w:rPr>
      </w:pPr>
      <w:r w:rsidRPr="002F5236">
        <w:rPr>
          <w:rFonts w:asciiTheme="minorHAnsi" w:hAnsiTheme="minorHAnsi"/>
          <w:sz w:val="22"/>
          <w:szCs w:val="22"/>
        </w:rPr>
        <w:t xml:space="preserve">19 </w:t>
      </w:r>
      <w:r>
        <w:rPr>
          <w:rFonts w:asciiTheme="minorHAnsi" w:hAnsiTheme="minorHAnsi"/>
          <w:sz w:val="22"/>
          <w:szCs w:val="22"/>
        </w:rPr>
        <w:t xml:space="preserve">recours ont été faits en 2019. </w:t>
      </w:r>
      <w:r w:rsidRPr="002F5236">
        <w:rPr>
          <w:rFonts w:asciiTheme="minorHAnsi" w:hAnsiTheme="minorHAnsi"/>
          <w:sz w:val="22"/>
          <w:szCs w:val="22"/>
        </w:rPr>
        <w:t>18 devant le TA de Par</w:t>
      </w:r>
      <w:r>
        <w:rPr>
          <w:rFonts w:asciiTheme="minorHAnsi" w:hAnsiTheme="minorHAnsi"/>
          <w:sz w:val="22"/>
          <w:szCs w:val="22"/>
        </w:rPr>
        <w:t xml:space="preserve">is et 1 devant la CAA de Paris. </w:t>
      </w:r>
      <w:r w:rsidRPr="002F5236">
        <w:rPr>
          <w:rFonts w:asciiTheme="minorHAnsi" w:hAnsiTheme="minorHAnsi"/>
          <w:sz w:val="22"/>
          <w:szCs w:val="22"/>
        </w:rPr>
        <w:t xml:space="preserve">7 décisions </w:t>
      </w:r>
      <w:r>
        <w:rPr>
          <w:rFonts w:asciiTheme="minorHAnsi" w:hAnsiTheme="minorHAnsi"/>
          <w:sz w:val="22"/>
          <w:szCs w:val="22"/>
        </w:rPr>
        <w:t xml:space="preserve">ont déjà été </w:t>
      </w:r>
      <w:r w:rsidRPr="002F5236">
        <w:rPr>
          <w:rFonts w:asciiTheme="minorHAnsi" w:hAnsiTheme="minorHAnsi"/>
          <w:sz w:val="22"/>
          <w:szCs w:val="22"/>
        </w:rPr>
        <w:t>rendues au cours de l’année 2019</w:t>
      </w:r>
      <w:r>
        <w:rPr>
          <w:rFonts w:asciiTheme="minorHAnsi" w:hAnsiTheme="minorHAnsi"/>
          <w:sz w:val="22"/>
          <w:szCs w:val="22"/>
        </w:rPr>
        <w:t>, toutes favorables à l’Agence.</w:t>
      </w:r>
    </w:p>
    <w:p w14:paraId="163EE63A" w14:textId="77777777" w:rsidR="002F5236" w:rsidRDefault="002F5236" w:rsidP="002F5236">
      <w:pPr>
        <w:jc w:val="both"/>
        <w:rPr>
          <w:rFonts w:asciiTheme="minorHAnsi" w:hAnsiTheme="minorHAnsi"/>
          <w:sz w:val="22"/>
          <w:szCs w:val="22"/>
        </w:rPr>
      </w:pPr>
    </w:p>
    <w:p w14:paraId="1353DC27" w14:textId="77777777" w:rsidR="00775D49" w:rsidRDefault="00775D49" w:rsidP="007550D2">
      <w:pPr>
        <w:jc w:val="both"/>
        <w:rPr>
          <w:rFonts w:asciiTheme="minorHAnsi" w:hAnsiTheme="minorHAnsi"/>
          <w:sz w:val="22"/>
          <w:szCs w:val="22"/>
        </w:rPr>
      </w:pPr>
    </w:p>
    <w:p w14:paraId="4D9816D6" w14:textId="77777777" w:rsidR="00A46F30" w:rsidRDefault="00A46F30" w:rsidP="007550D2">
      <w:pPr>
        <w:jc w:val="both"/>
        <w:rPr>
          <w:rFonts w:asciiTheme="minorHAnsi" w:hAnsiTheme="minorHAnsi"/>
          <w:sz w:val="22"/>
          <w:szCs w:val="22"/>
        </w:rPr>
      </w:pPr>
      <w:r w:rsidRPr="00A46F30">
        <w:rPr>
          <w:rFonts w:asciiTheme="minorHAnsi" w:hAnsiTheme="minorHAnsi"/>
          <w:b/>
          <w:bCs/>
          <w:sz w:val="22"/>
          <w:szCs w:val="22"/>
        </w:rPr>
        <w:t>Dérogations pour les établissements ou les niveaux non homologués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6E2743E" w14:textId="02E66FF1" w:rsidR="00BE7171" w:rsidRDefault="005741C8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>L’A</w:t>
      </w:r>
      <w:r w:rsidR="00A46F30">
        <w:rPr>
          <w:rFonts w:asciiTheme="minorHAnsi" w:hAnsiTheme="minorHAnsi"/>
          <w:sz w:val="22"/>
          <w:szCs w:val="22"/>
        </w:rPr>
        <w:t xml:space="preserve">EFE édicte une règle nouvelle selon laquelle </w:t>
      </w:r>
      <w:r w:rsidR="00A46F30" w:rsidRPr="00BE7171">
        <w:rPr>
          <w:rFonts w:asciiTheme="minorHAnsi" w:hAnsiTheme="minorHAnsi"/>
          <w:sz w:val="22"/>
          <w:szCs w:val="22"/>
        </w:rPr>
        <w:t>le bénéfice de dérogations ne peut être que transitoire</w:t>
      </w:r>
      <w:r w:rsidR="00A46F30">
        <w:rPr>
          <w:rFonts w:asciiTheme="minorHAnsi" w:hAnsiTheme="minorHAnsi"/>
          <w:sz w:val="22"/>
          <w:szCs w:val="22"/>
        </w:rPr>
        <w:t xml:space="preserve"> et ne pourra être reconduit que si l’établissement montre sa </w:t>
      </w:r>
      <w:proofErr w:type="gramStart"/>
      <w:r w:rsidR="00A46F30">
        <w:rPr>
          <w:rFonts w:asciiTheme="minorHAnsi" w:hAnsiTheme="minorHAnsi"/>
          <w:sz w:val="22"/>
          <w:szCs w:val="22"/>
        </w:rPr>
        <w:t xml:space="preserve">volonté </w:t>
      </w:r>
      <w:r w:rsidR="00A46F30" w:rsidRPr="00BE7171">
        <w:rPr>
          <w:rFonts w:asciiTheme="minorHAnsi" w:hAnsiTheme="minorHAnsi"/>
          <w:sz w:val="22"/>
          <w:szCs w:val="22"/>
        </w:rPr>
        <w:t xml:space="preserve"> </w:t>
      </w:r>
      <w:r w:rsidR="00A46F30">
        <w:rPr>
          <w:rFonts w:asciiTheme="minorHAnsi" w:hAnsiTheme="minorHAnsi"/>
          <w:sz w:val="22"/>
          <w:szCs w:val="22"/>
        </w:rPr>
        <w:t>de</w:t>
      </w:r>
      <w:proofErr w:type="gramEnd"/>
      <w:r w:rsidR="00A46F30">
        <w:rPr>
          <w:rFonts w:asciiTheme="minorHAnsi" w:hAnsiTheme="minorHAnsi"/>
          <w:sz w:val="22"/>
          <w:szCs w:val="22"/>
        </w:rPr>
        <w:t xml:space="preserve"> </w:t>
      </w:r>
      <w:r w:rsidR="00775D49">
        <w:rPr>
          <w:rFonts w:asciiTheme="minorHAnsi" w:hAnsiTheme="minorHAnsi"/>
          <w:sz w:val="22"/>
          <w:szCs w:val="22"/>
        </w:rPr>
        <w:t>demand</w:t>
      </w:r>
      <w:r w:rsidR="007550D2" w:rsidRPr="00BE7171">
        <w:rPr>
          <w:rFonts w:asciiTheme="minorHAnsi" w:hAnsiTheme="minorHAnsi"/>
          <w:sz w:val="22"/>
          <w:szCs w:val="22"/>
        </w:rPr>
        <w:t>e</w:t>
      </w:r>
      <w:r w:rsidR="00A46F30">
        <w:rPr>
          <w:rFonts w:asciiTheme="minorHAnsi" w:hAnsiTheme="minorHAnsi"/>
          <w:sz w:val="22"/>
          <w:szCs w:val="22"/>
        </w:rPr>
        <w:t>r</w:t>
      </w:r>
      <w:r w:rsidR="007550D2" w:rsidRPr="00BE7171">
        <w:rPr>
          <w:rFonts w:asciiTheme="minorHAnsi" w:hAnsiTheme="minorHAnsi"/>
          <w:sz w:val="22"/>
          <w:szCs w:val="22"/>
        </w:rPr>
        <w:t xml:space="preserve"> </w:t>
      </w:r>
      <w:r w:rsidR="00A46F30">
        <w:rPr>
          <w:rFonts w:asciiTheme="minorHAnsi" w:hAnsiTheme="minorHAnsi"/>
          <w:sz w:val="22"/>
          <w:szCs w:val="22"/>
        </w:rPr>
        <w:t xml:space="preserve">son </w:t>
      </w:r>
      <w:r w:rsidR="007550D2" w:rsidRPr="00A46F30">
        <w:rPr>
          <w:rFonts w:asciiTheme="minorHAnsi" w:hAnsiTheme="minorHAnsi"/>
          <w:bCs/>
          <w:sz w:val="22"/>
          <w:szCs w:val="22"/>
        </w:rPr>
        <w:t>homologation</w:t>
      </w:r>
      <w:r w:rsidR="00A46F30">
        <w:rPr>
          <w:rFonts w:asciiTheme="minorHAnsi" w:hAnsiTheme="minorHAnsi"/>
          <w:sz w:val="22"/>
          <w:szCs w:val="22"/>
        </w:rPr>
        <w:t xml:space="preserve"> et travaille à se rapprocher des exigences </w:t>
      </w:r>
      <w:r w:rsidR="00ED499D">
        <w:rPr>
          <w:rFonts w:asciiTheme="minorHAnsi" w:hAnsiTheme="minorHAnsi"/>
          <w:sz w:val="22"/>
          <w:szCs w:val="22"/>
        </w:rPr>
        <w:t xml:space="preserve">pédagogiques </w:t>
      </w:r>
      <w:r w:rsidR="00A46F30">
        <w:rPr>
          <w:rFonts w:asciiTheme="minorHAnsi" w:hAnsiTheme="minorHAnsi"/>
          <w:sz w:val="22"/>
          <w:szCs w:val="22"/>
        </w:rPr>
        <w:t xml:space="preserve">de </w:t>
      </w:r>
      <w:r w:rsidR="00ED499D">
        <w:rPr>
          <w:rFonts w:asciiTheme="minorHAnsi" w:hAnsiTheme="minorHAnsi"/>
          <w:sz w:val="22"/>
          <w:szCs w:val="22"/>
        </w:rPr>
        <w:t>celle-ci</w:t>
      </w:r>
      <w:r w:rsidR="007550D2" w:rsidRPr="00BE7171">
        <w:rPr>
          <w:rFonts w:asciiTheme="minorHAnsi" w:hAnsiTheme="minorHAnsi"/>
          <w:sz w:val="22"/>
          <w:szCs w:val="22"/>
        </w:rPr>
        <w:t xml:space="preserve">, </w:t>
      </w:r>
    </w:p>
    <w:p w14:paraId="73904AB7" w14:textId="64CBF467" w:rsidR="007550D2" w:rsidRPr="00BE7171" w:rsidRDefault="000C2168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>L’A</w:t>
      </w:r>
      <w:r w:rsidR="00ED499D">
        <w:rPr>
          <w:rFonts w:asciiTheme="minorHAnsi" w:hAnsiTheme="minorHAnsi"/>
          <w:sz w:val="22"/>
          <w:szCs w:val="22"/>
        </w:rPr>
        <w:t>EFE</w:t>
      </w:r>
      <w:r w:rsidRPr="00BE7171">
        <w:rPr>
          <w:rFonts w:asciiTheme="minorHAnsi" w:hAnsiTheme="minorHAnsi"/>
          <w:sz w:val="22"/>
          <w:szCs w:val="22"/>
        </w:rPr>
        <w:t xml:space="preserve"> recense des dérogations pour 102 établissements, 328 classes non homologu</w:t>
      </w:r>
      <w:r w:rsidR="00BE7171">
        <w:rPr>
          <w:rFonts w:asciiTheme="minorHAnsi" w:hAnsiTheme="minorHAnsi"/>
          <w:sz w:val="22"/>
          <w:szCs w:val="22"/>
          <w:lang w:eastAsia="ja-JP"/>
        </w:rPr>
        <w:t xml:space="preserve">ées, concernant </w:t>
      </w:r>
      <w:r w:rsidRPr="00BE7171">
        <w:rPr>
          <w:rFonts w:asciiTheme="minorHAnsi" w:hAnsiTheme="minorHAnsi"/>
          <w:sz w:val="22"/>
          <w:szCs w:val="22"/>
        </w:rPr>
        <w:t>649 él</w:t>
      </w:r>
      <w:r w:rsidR="00BE7171">
        <w:rPr>
          <w:rFonts w:asciiTheme="minorHAnsi" w:hAnsiTheme="minorHAnsi"/>
          <w:sz w:val="22"/>
          <w:szCs w:val="22"/>
        </w:rPr>
        <w:t>èves et</w:t>
      </w:r>
      <w:r w:rsidRPr="00BE7171">
        <w:rPr>
          <w:rFonts w:asciiTheme="minorHAnsi" w:hAnsiTheme="minorHAnsi"/>
          <w:sz w:val="22"/>
          <w:szCs w:val="22"/>
        </w:rPr>
        <w:t xml:space="preserve"> représentant 2,52 M€.</w:t>
      </w:r>
    </w:p>
    <w:p w14:paraId="018F3895" w14:textId="77777777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</w:p>
    <w:p w14:paraId="6E7A6765" w14:textId="2F044BAB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 xml:space="preserve">Le réel impact de la hausse du </w:t>
      </w:r>
      <w:proofErr w:type="spellStart"/>
      <w:r w:rsidRPr="00BE7171">
        <w:rPr>
          <w:rFonts w:asciiTheme="minorHAnsi" w:hAnsiTheme="minorHAnsi"/>
          <w:b/>
          <w:sz w:val="22"/>
          <w:szCs w:val="22"/>
        </w:rPr>
        <w:t>QMax</w:t>
      </w:r>
      <w:proofErr w:type="spellEnd"/>
      <w:r w:rsidR="009E0604" w:rsidRPr="00BE7171">
        <w:rPr>
          <w:rFonts w:asciiTheme="minorHAnsi" w:hAnsiTheme="minorHAnsi"/>
          <w:b/>
          <w:sz w:val="22"/>
          <w:szCs w:val="22"/>
        </w:rPr>
        <w:t xml:space="preserve"> à 23</w:t>
      </w:r>
      <w:r w:rsidR="00891422" w:rsidRPr="00BE7171">
        <w:rPr>
          <w:rFonts w:asciiTheme="minorHAnsi" w:hAnsiTheme="minorHAnsi"/>
          <w:b/>
          <w:sz w:val="22"/>
          <w:szCs w:val="22"/>
        </w:rPr>
        <w:t xml:space="preserve"> </w:t>
      </w:r>
      <w:r w:rsidR="009E0604" w:rsidRPr="00BE7171">
        <w:rPr>
          <w:rFonts w:asciiTheme="minorHAnsi" w:hAnsiTheme="minorHAnsi"/>
          <w:b/>
          <w:sz w:val="22"/>
          <w:szCs w:val="22"/>
        </w:rPr>
        <w:t>000€</w:t>
      </w:r>
      <w:r w:rsidRPr="00BE7171">
        <w:rPr>
          <w:rFonts w:asciiTheme="minorHAnsi" w:hAnsiTheme="minorHAnsi"/>
          <w:sz w:val="22"/>
          <w:szCs w:val="22"/>
        </w:rPr>
        <w:t xml:space="preserve"> </w:t>
      </w:r>
      <w:r w:rsidR="009E0604" w:rsidRPr="00BE7171">
        <w:rPr>
          <w:rFonts w:asciiTheme="minorHAnsi" w:hAnsiTheme="minorHAnsi"/>
          <w:sz w:val="22"/>
          <w:szCs w:val="22"/>
        </w:rPr>
        <w:t xml:space="preserve">ne </w:t>
      </w:r>
      <w:r w:rsidRPr="00BE7171">
        <w:rPr>
          <w:rFonts w:asciiTheme="minorHAnsi" w:hAnsiTheme="minorHAnsi"/>
          <w:sz w:val="22"/>
          <w:szCs w:val="22"/>
        </w:rPr>
        <w:t>ser</w:t>
      </w:r>
      <w:r w:rsidR="009E0604" w:rsidRPr="00BE7171">
        <w:rPr>
          <w:rFonts w:asciiTheme="minorHAnsi" w:hAnsiTheme="minorHAnsi"/>
          <w:sz w:val="22"/>
          <w:szCs w:val="22"/>
        </w:rPr>
        <w:t>a mesurable qu’en 2020</w:t>
      </w:r>
      <w:r w:rsidRPr="00BE7171">
        <w:rPr>
          <w:rFonts w:asciiTheme="minorHAnsi" w:hAnsiTheme="minorHAnsi"/>
          <w:sz w:val="22"/>
          <w:szCs w:val="22"/>
        </w:rPr>
        <w:t>. Actuellement le montant suppléme</w:t>
      </w:r>
      <w:r w:rsidR="009E0604" w:rsidRPr="00BE7171">
        <w:rPr>
          <w:rFonts w:asciiTheme="minorHAnsi" w:hAnsiTheme="minorHAnsi"/>
          <w:sz w:val="22"/>
          <w:szCs w:val="22"/>
        </w:rPr>
        <w:t>ntaire serait d’environ 600</w:t>
      </w:r>
      <w:r w:rsidR="00ED499D">
        <w:rPr>
          <w:rFonts w:asciiTheme="minorHAnsi" w:hAnsiTheme="minorHAnsi"/>
          <w:sz w:val="22"/>
          <w:szCs w:val="22"/>
        </w:rPr>
        <w:t> </w:t>
      </w:r>
      <w:r w:rsidR="009E0604" w:rsidRPr="00BE7171">
        <w:rPr>
          <w:rFonts w:asciiTheme="minorHAnsi" w:hAnsiTheme="minorHAnsi"/>
          <w:sz w:val="22"/>
          <w:szCs w:val="22"/>
        </w:rPr>
        <w:t>000</w:t>
      </w:r>
      <w:r w:rsidR="00ED499D">
        <w:rPr>
          <w:rFonts w:asciiTheme="minorHAnsi" w:hAnsiTheme="minorHAnsi"/>
          <w:sz w:val="22"/>
          <w:szCs w:val="22"/>
        </w:rPr>
        <w:t> </w:t>
      </w:r>
      <w:r w:rsidRPr="00BE7171">
        <w:rPr>
          <w:rFonts w:asciiTheme="minorHAnsi" w:hAnsiTheme="minorHAnsi"/>
          <w:sz w:val="22"/>
          <w:szCs w:val="22"/>
        </w:rPr>
        <w:t>€, avec des effets positifs notamment pour les qu</w:t>
      </w:r>
      <w:r w:rsidR="009E0604" w:rsidRPr="00BE7171">
        <w:rPr>
          <w:rFonts w:asciiTheme="minorHAnsi" w:hAnsiTheme="minorHAnsi"/>
          <w:sz w:val="22"/>
          <w:szCs w:val="22"/>
        </w:rPr>
        <w:t>otités comprises entre 20 et 50</w:t>
      </w:r>
      <w:r w:rsidRPr="00BE7171">
        <w:rPr>
          <w:rFonts w:asciiTheme="minorHAnsi" w:hAnsiTheme="minorHAnsi"/>
          <w:sz w:val="22"/>
          <w:szCs w:val="22"/>
        </w:rPr>
        <w:t>%.</w:t>
      </w:r>
    </w:p>
    <w:p w14:paraId="68DD8188" w14:textId="77777777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</w:p>
    <w:p w14:paraId="14BF1CBE" w14:textId="6E78575A" w:rsidR="007550D2" w:rsidRPr="00BE7171" w:rsidRDefault="007550D2" w:rsidP="00ED499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>L’A</w:t>
      </w:r>
      <w:r w:rsidR="00ED499D">
        <w:rPr>
          <w:rFonts w:asciiTheme="minorHAnsi" w:hAnsiTheme="minorHAnsi"/>
          <w:sz w:val="22"/>
          <w:szCs w:val="22"/>
        </w:rPr>
        <w:t>EFE</w:t>
      </w:r>
      <w:r w:rsidRPr="00BE7171">
        <w:rPr>
          <w:rFonts w:asciiTheme="minorHAnsi" w:hAnsiTheme="minorHAnsi"/>
          <w:sz w:val="22"/>
          <w:szCs w:val="22"/>
        </w:rPr>
        <w:t xml:space="preserve"> </w:t>
      </w:r>
      <w:r w:rsidR="00ED499D" w:rsidRPr="00ED499D">
        <w:rPr>
          <w:rFonts w:asciiTheme="minorHAnsi" w:hAnsiTheme="minorHAnsi"/>
          <w:sz w:val="22"/>
          <w:szCs w:val="22"/>
        </w:rPr>
        <w:t>rappelle que toutes décisions de pondération de la quotité théorique (à la hausse ou à la baisse), doivent</w:t>
      </w:r>
      <w:r w:rsidR="00ED499D">
        <w:rPr>
          <w:rFonts w:asciiTheme="minorHAnsi" w:hAnsiTheme="minorHAnsi"/>
          <w:sz w:val="22"/>
          <w:szCs w:val="22"/>
        </w:rPr>
        <w:t xml:space="preserve"> </w:t>
      </w:r>
      <w:r w:rsidR="00ED499D" w:rsidRPr="00ED499D">
        <w:rPr>
          <w:rFonts w:asciiTheme="minorHAnsi" w:hAnsiTheme="minorHAnsi"/>
          <w:sz w:val="22"/>
          <w:szCs w:val="22"/>
        </w:rPr>
        <w:t>impérativement</w:t>
      </w:r>
      <w:r w:rsidR="00ED499D" w:rsidRPr="00ED499D">
        <w:rPr>
          <w:rFonts w:asciiTheme="minorHAnsi" w:hAnsiTheme="minorHAnsi"/>
          <w:sz w:val="22"/>
          <w:szCs w:val="22"/>
        </w:rPr>
        <w:t xml:space="preserve"> être motivées dans le dossier informatisé des familles concernées (point 4.8.2 de l'instruction) et</w:t>
      </w:r>
      <w:r w:rsidR="00ED499D">
        <w:rPr>
          <w:rFonts w:asciiTheme="minorHAnsi" w:hAnsiTheme="minorHAnsi"/>
          <w:sz w:val="22"/>
          <w:szCs w:val="22"/>
        </w:rPr>
        <w:t xml:space="preserve"> </w:t>
      </w:r>
      <w:r w:rsidR="00ED499D" w:rsidRPr="00ED499D">
        <w:rPr>
          <w:rFonts w:asciiTheme="minorHAnsi" w:hAnsiTheme="minorHAnsi"/>
          <w:sz w:val="22"/>
          <w:szCs w:val="22"/>
        </w:rPr>
        <w:t>apparaître dans les commentaires du PV des travaux du CCB.</w:t>
      </w:r>
      <w:r w:rsidR="00ED499D" w:rsidRPr="00ED499D">
        <w:rPr>
          <w:rFonts w:asciiTheme="minorHAnsi" w:hAnsiTheme="minorHAnsi"/>
          <w:sz w:val="22"/>
          <w:szCs w:val="22"/>
        </w:rPr>
        <w:t xml:space="preserve"> </w:t>
      </w:r>
      <w:r w:rsidR="00ED499D">
        <w:rPr>
          <w:rFonts w:asciiTheme="minorHAnsi" w:hAnsiTheme="minorHAnsi"/>
          <w:sz w:val="22"/>
          <w:szCs w:val="22"/>
        </w:rPr>
        <w:t xml:space="preserve">Aucune pondération automatique n’est acceptée. L’AEFE </w:t>
      </w:r>
      <w:r w:rsidRPr="00BE7171">
        <w:rPr>
          <w:rFonts w:asciiTheme="minorHAnsi" w:hAnsiTheme="minorHAnsi"/>
          <w:sz w:val="22"/>
          <w:szCs w:val="22"/>
        </w:rPr>
        <w:t xml:space="preserve">couvre également tous les dépassements raisonnables quand les postes ont mal calculé leurs besoins par rapport à l’enveloppe limitative </w:t>
      </w:r>
      <w:r w:rsidRPr="00BE7171">
        <w:rPr>
          <w:rFonts w:asciiTheme="minorHAnsi" w:hAnsiTheme="minorHAnsi"/>
          <w:sz w:val="22"/>
          <w:szCs w:val="22"/>
        </w:rPr>
        <w:lastRenderedPageBreak/>
        <w:t>pendant le dialogue de gestion et bien entendu si les correctifs apportés causent le dépassement.</w:t>
      </w:r>
      <w:r w:rsidR="00BE7171" w:rsidRPr="00BE7171">
        <w:rPr>
          <w:rFonts w:asciiTheme="minorHAnsi" w:hAnsiTheme="minorHAnsi"/>
          <w:sz w:val="22"/>
          <w:szCs w:val="22"/>
          <w:lang w:eastAsia="ja-JP"/>
        </w:rPr>
        <w:t xml:space="preserve"> Au total, 96 CCB sont en dépassement d’enveloppe, 74 en sous-consommation.</w:t>
      </w:r>
    </w:p>
    <w:p w14:paraId="5F46EAC7" w14:textId="77777777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</w:p>
    <w:p w14:paraId="6705E4D9" w14:textId="3EFC9CDF" w:rsidR="00BE7171" w:rsidRPr="00BE7171" w:rsidRDefault="00BE7171" w:rsidP="00BE717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BE7171">
        <w:rPr>
          <w:rFonts w:asciiTheme="minorHAnsi" w:hAnsiTheme="minorHAnsi"/>
          <w:sz w:val="22"/>
          <w:szCs w:val="22"/>
        </w:rPr>
        <w:t>es interrogations sur l’actualité de l’</w:t>
      </w:r>
      <w:r w:rsidRPr="00BE7171">
        <w:rPr>
          <w:rFonts w:asciiTheme="minorHAnsi" w:hAnsiTheme="minorHAnsi"/>
          <w:b/>
          <w:sz w:val="22"/>
          <w:szCs w:val="22"/>
        </w:rPr>
        <w:t>IPPA</w:t>
      </w:r>
      <w:r w:rsidRPr="00BE7171">
        <w:rPr>
          <w:rFonts w:asciiTheme="minorHAnsi" w:hAnsiTheme="minorHAnsi"/>
          <w:sz w:val="22"/>
          <w:szCs w:val="22"/>
        </w:rPr>
        <w:t xml:space="preserve"> dans certains pays/postes, Espagne, Turquie, Inde,… apparaissent régulièrement. Nous sommes intervenus sur le décalage constaté entre l’indice Mercer et la perception des membres des CCB et de la CNB.</w:t>
      </w:r>
    </w:p>
    <w:p w14:paraId="682945ED" w14:textId="77777777" w:rsidR="00BE7171" w:rsidRDefault="00BE7171" w:rsidP="007550D2">
      <w:pPr>
        <w:jc w:val="both"/>
        <w:rPr>
          <w:rFonts w:asciiTheme="minorHAnsi" w:hAnsiTheme="minorHAnsi"/>
          <w:b/>
          <w:sz w:val="22"/>
          <w:szCs w:val="22"/>
        </w:rPr>
      </w:pPr>
    </w:p>
    <w:p w14:paraId="47849A1B" w14:textId="77777777" w:rsidR="002F5236" w:rsidRDefault="002F5236" w:rsidP="002F5236">
      <w:pPr>
        <w:jc w:val="both"/>
        <w:rPr>
          <w:rFonts w:asciiTheme="minorHAnsi" w:hAnsiTheme="minorHAnsi"/>
          <w:sz w:val="22"/>
          <w:szCs w:val="22"/>
        </w:rPr>
      </w:pPr>
    </w:p>
    <w:p w14:paraId="0C1C32C8" w14:textId="605C0197" w:rsidR="002F5236" w:rsidRPr="002F5236" w:rsidRDefault="002F5236" w:rsidP="002F523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  montant </w:t>
      </w:r>
      <w:r w:rsidRPr="002F5236">
        <w:rPr>
          <w:rFonts w:asciiTheme="minorHAnsi" w:hAnsiTheme="minorHAnsi"/>
          <w:sz w:val="22"/>
          <w:szCs w:val="22"/>
        </w:rPr>
        <w:t>des</w:t>
      </w:r>
      <w:r>
        <w:rPr>
          <w:rFonts w:asciiTheme="minorHAnsi" w:hAnsiTheme="minorHAnsi"/>
          <w:b/>
          <w:sz w:val="22"/>
          <w:szCs w:val="22"/>
        </w:rPr>
        <w:t xml:space="preserve"> bourses parascolaires </w:t>
      </w:r>
      <w:r>
        <w:rPr>
          <w:rFonts w:asciiTheme="minorHAnsi" w:hAnsiTheme="minorHAnsi"/>
          <w:sz w:val="22"/>
          <w:szCs w:val="22"/>
        </w:rPr>
        <w:t xml:space="preserve">attribuées à ce jour au titre </w:t>
      </w:r>
      <w:r w:rsidRPr="002F5236">
        <w:rPr>
          <w:rFonts w:asciiTheme="minorHAnsi" w:hAnsiTheme="minorHAnsi"/>
          <w:sz w:val="22"/>
          <w:szCs w:val="22"/>
        </w:rPr>
        <w:t>de l’an</w:t>
      </w:r>
      <w:r>
        <w:rPr>
          <w:rFonts w:asciiTheme="minorHAnsi" w:hAnsiTheme="minorHAnsi"/>
          <w:sz w:val="22"/>
          <w:szCs w:val="22"/>
        </w:rPr>
        <w:t xml:space="preserve">née 2019 des pays du rythme </w:t>
      </w:r>
      <w:r w:rsidRPr="002F5236">
        <w:rPr>
          <w:rFonts w:asciiTheme="minorHAnsi" w:hAnsiTheme="minorHAnsi"/>
          <w:sz w:val="22"/>
          <w:szCs w:val="22"/>
        </w:rPr>
        <w:t xml:space="preserve">sud </w:t>
      </w:r>
      <w:r>
        <w:rPr>
          <w:rFonts w:asciiTheme="minorHAnsi" w:hAnsiTheme="minorHAnsi"/>
          <w:sz w:val="22"/>
          <w:szCs w:val="22"/>
        </w:rPr>
        <w:t>est de</w:t>
      </w:r>
      <w:r w:rsidRPr="002F5236">
        <w:rPr>
          <w:rFonts w:asciiTheme="minorHAnsi" w:hAnsiTheme="minorHAnsi"/>
          <w:sz w:val="22"/>
          <w:szCs w:val="22"/>
        </w:rPr>
        <w:t xml:space="preserve"> 1,5M€</w:t>
      </w:r>
      <w:r>
        <w:rPr>
          <w:rFonts w:asciiTheme="minorHAnsi" w:hAnsiTheme="minorHAnsi"/>
          <w:sz w:val="22"/>
          <w:szCs w:val="22"/>
        </w:rPr>
        <w:t>,</w:t>
      </w:r>
      <w:r w:rsidRPr="002F5236">
        <w:rPr>
          <w:rFonts w:asciiTheme="minorHAnsi" w:hAnsiTheme="minorHAnsi"/>
          <w:sz w:val="22"/>
          <w:szCs w:val="22"/>
        </w:rPr>
        <w:t xml:space="preserve"> quasiment  identique  à  l’an  dernier.</w:t>
      </w:r>
    </w:p>
    <w:p w14:paraId="126C80EC" w14:textId="69E25823" w:rsidR="00BE7171" w:rsidRPr="002F5236" w:rsidRDefault="00775D49" w:rsidP="002F523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Pour les pays du rythme nord, l</w:t>
      </w:r>
      <w:r w:rsidR="002F5236">
        <w:rPr>
          <w:rFonts w:asciiTheme="minorHAnsi" w:hAnsiTheme="minorHAnsi"/>
          <w:sz w:val="22"/>
          <w:szCs w:val="22"/>
        </w:rPr>
        <w:t xml:space="preserve">e montant des </w:t>
      </w:r>
      <w:r w:rsidR="002F5236" w:rsidRPr="002F5236">
        <w:rPr>
          <w:rFonts w:asciiTheme="minorHAnsi" w:hAnsiTheme="minorHAnsi"/>
          <w:sz w:val="22"/>
          <w:szCs w:val="22"/>
        </w:rPr>
        <w:t>bourses parascolaires 20</w:t>
      </w:r>
      <w:r>
        <w:rPr>
          <w:rFonts w:asciiTheme="minorHAnsi" w:hAnsiTheme="minorHAnsi"/>
          <w:sz w:val="22"/>
          <w:szCs w:val="22"/>
        </w:rPr>
        <w:t xml:space="preserve">19/2020 </w:t>
      </w:r>
      <w:r w:rsidR="002F5236" w:rsidRPr="002F5236">
        <w:rPr>
          <w:rFonts w:asciiTheme="minorHAnsi" w:hAnsiTheme="minorHAnsi"/>
          <w:sz w:val="22"/>
          <w:szCs w:val="22"/>
        </w:rPr>
        <w:t>reste</w:t>
      </w:r>
      <w:r w:rsidR="002F5236">
        <w:rPr>
          <w:rFonts w:asciiTheme="minorHAnsi" w:hAnsiTheme="minorHAnsi"/>
          <w:sz w:val="22"/>
          <w:szCs w:val="22"/>
        </w:rPr>
        <w:t xml:space="preserve"> stable, </w:t>
      </w:r>
      <w:r w:rsidR="002F5236" w:rsidRPr="002F5236">
        <w:rPr>
          <w:rFonts w:asciiTheme="minorHAnsi" w:hAnsiTheme="minorHAnsi"/>
          <w:sz w:val="22"/>
          <w:szCs w:val="22"/>
        </w:rPr>
        <w:t>à ce jour</w:t>
      </w:r>
      <w:r w:rsidR="002F5236">
        <w:rPr>
          <w:rFonts w:asciiTheme="minorHAnsi" w:hAnsiTheme="minorHAnsi"/>
          <w:sz w:val="22"/>
          <w:szCs w:val="22"/>
        </w:rPr>
        <w:t xml:space="preserve">, à 17M€, soit un </w:t>
      </w:r>
      <w:r w:rsidR="002F5236" w:rsidRPr="002F5236">
        <w:rPr>
          <w:rFonts w:asciiTheme="minorHAnsi" w:hAnsiTheme="minorHAnsi"/>
          <w:sz w:val="22"/>
          <w:szCs w:val="22"/>
        </w:rPr>
        <w:t xml:space="preserve">total </w:t>
      </w:r>
      <w:r w:rsidR="002F5236">
        <w:rPr>
          <w:rFonts w:asciiTheme="minorHAnsi" w:hAnsiTheme="minorHAnsi"/>
          <w:sz w:val="22"/>
          <w:szCs w:val="22"/>
        </w:rPr>
        <w:t>de 18,5M€ (</w:t>
      </w:r>
      <w:r w:rsidR="002F5236" w:rsidRPr="002F5236">
        <w:rPr>
          <w:rFonts w:asciiTheme="minorHAnsi" w:hAnsiTheme="minorHAnsi"/>
          <w:sz w:val="22"/>
          <w:szCs w:val="22"/>
        </w:rPr>
        <w:t>21,8% du montant total des bourses attribué</w:t>
      </w:r>
      <w:r w:rsidR="002F5236">
        <w:rPr>
          <w:rFonts w:asciiTheme="minorHAnsi" w:hAnsiTheme="minorHAnsi"/>
          <w:sz w:val="22"/>
          <w:szCs w:val="22"/>
        </w:rPr>
        <w:t>).</w:t>
      </w:r>
    </w:p>
    <w:p w14:paraId="5BADD457" w14:textId="77777777" w:rsidR="002F5236" w:rsidRDefault="002F5236" w:rsidP="002F5236">
      <w:pPr>
        <w:jc w:val="both"/>
        <w:rPr>
          <w:rFonts w:asciiTheme="minorHAnsi" w:hAnsiTheme="minorHAnsi"/>
          <w:b/>
          <w:sz w:val="22"/>
          <w:szCs w:val="22"/>
        </w:rPr>
      </w:pPr>
    </w:p>
    <w:p w14:paraId="36B7E2CD" w14:textId="77777777" w:rsidR="002F5236" w:rsidRDefault="002F5236" w:rsidP="002F5236">
      <w:pPr>
        <w:jc w:val="both"/>
        <w:rPr>
          <w:rFonts w:asciiTheme="minorHAnsi" w:hAnsiTheme="minorHAnsi"/>
          <w:b/>
          <w:sz w:val="22"/>
          <w:szCs w:val="22"/>
        </w:rPr>
      </w:pPr>
    </w:p>
    <w:p w14:paraId="3EA9B900" w14:textId="77777777" w:rsidR="007550D2" w:rsidRPr="00BE7171" w:rsidRDefault="007550D2" w:rsidP="007550D2">
      <w:pPr>
        <w:jc w:val="both"/>
        <w:rPr>
          <w:rFonts w:asciiTheme="minorHAnsi" w:hAnsiTheme="minorHAnsi"/>
          <w:b/>
          <w:sz w:val="22"/>
          <w:szCs w:val="22"/>
        </w:rPr>
      </w:pPr>
      <w:r w:rsidRPr="00BE7171">
        <w:rPr>
          <w:rFonts w:asciiTheme="minorHAnsi" w:hAnsiTheme="minorHAnsi"/>
          <w:b/>
          <w:sz w:val="22"/>
          <w:szCs w:val="22"/>
        </w:rPr>
        <w:t>ASESH</w:t>
      </w:r>
    </w:p>
    <w:p w14:paraId="102B0447" w14:textId="036D452A" w:rsidR="007550D2" w:rsidRPr="00BE7171" w:rsidRDefault="00ED499D" w:rsidP="00290348">
      <w:pPr>
        <w:jc w:val="both"/>
        <w:rPr>
          <w:rFonts w:asciiTheme="minorHAnsi" w:hAnsiTheme="minorHAnsi"/>
          <w:sz w:val="22"/>
          <w:szCs w:val="22"/>
        </w:rPr>
      </w:pPr>
      <w:r w:rsidRPr="00ED499D">
        <w:rPr>
          <w:rFonts w:eastAsiaTheme="minorEastAsia"/>
          <w:color w:val="000000"/>
          <w:sz w:val="23"/>
          <w:szCs w:val="23"/>
        </w:rPr>
        <w:t>L’</w:t>
      </w:r>
      <w:r w:rsidRPr="00ED499D">
        <w:rPr>
          <w:rFonts w:eastAsiaTheme="minorEastAsia"/>
          <w:b/>
          <w:bCs/>
          <w:color w:val="000000"/>
          <w:sz w:val="23"/>
          <w:szCs w:val="23"/>
        </w:rPr>
        <w:t>enveloppe spécifique de 300 000</w:t>
      </w:r>
      <w:r w:rsidRPr="00ED499D">
        <w:rPr>
          <w:rFonts w:eastAsiaTheme="minorEastAsia"/>
          <w:color w:val="000000"/>
          <w:sz w:val="23"/>
          <w:szCs w:val="23"/>
        </w:rPr>
        <w:t xml:space="preserve">€ destinée à financer les coûts destinés </w:t>
      </w:r>
      <w:r w:rsidRPr="00ED499D">
        <w:rPr>
          <w:rFonts w:eastAsiaTheme="minorEastAsia"/>
          <w:sz w:val="23"/>
          <w:szCs w:val="23"/>
        </w:rPr>
        <w:t>à la prise en charge</w:t>
      </w:r>
      <w:r w:rsidR="00290348">
        <w:rPr>
          <w:rFonts w:eastAsiaTheme="minorEastAsia"/>
          <w:sz w:val="23"/>
          <w:szCs w:val="23"/>
        </w:rPr>
        <w:t xml:space="preserve"> </w:t>
      </w:r>
      <w:r w:rsidRPr="00ED499D">
        <w:rPr>
          <w:rFonts w:eastAsiaTheme="minorEastAsia"/>
          <w:sz w:val="23"/>
          <w:szCs w:val="23"/>
        </w:rPr>
        <w:t xml:space="preserve">des frais d’accompagnement en personnels </w:t>
      </w:r>
      <w:r w:rsidRPr="00ED499D">
        <w:rPr>
          <w:rFonts w:eastAsiaTheme="minorEastAsia"/>
          <w:b/>
          <w:bCs/>
          <w:sz w:val="23"/>
          <w:szCs w:val="23"/>
        </w:rPr>
        <w:t xml:space="preserve">(ASESH) </w:t>
      </w:r>
      <w:r w:rsidRPr="00ED499D">
        <w:rPr>
          <w:rFonts w:eastAsiaTheme="minorEastAsia"/>
          <w:sz w:val="23"/>
          <w:szCs w:val="23"/>
        </w:rPr>
        <w:t>des élèves boursiers en situation de handicap, a été reconduite à l’identique</w:t>
      </w:r>
      <w:r w:rsidRPr="00290348">
        <w:rPr>
          <w:rFonts w:asciiTheme="minorHAnsi" w:hAnsiTheme="minorHAnsi"/>
          <w:sz w:val="22"/>
          <w:szCs w:val="22"/>
        </w:rPr>
        <w:t xml:space="preserve">. </w:t>
      </w:r>
    </w:p>
    <w:p w14:paraId="5D4FD203" w14:textId="0E46AF4A" w:rsidR="007550D2" w:rsidRPr="00BE7171" w:rsidRDefault="00290348" w:rsidP="007550D2">
      <w:pPr>
        <w:jc w:val="both"/>
        <w:rPr>
          <w:rFonts w:asciiTheme="minorHAnsi" w:hAnsiTheme="minorHAnsi"/>
          <w:sz w:val="22"/>
          <w:szCs w:val="22"/>
        </w:rPr>
      </w:pPr>
      <w:r w:rsidRPr="00290348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u</w:t>
      </w:r>
      <w:r w:rsidRPr="00290348">
        <w:rPr>
          <w:rFonts w:asciiTheme="minorHAnsi" w:hAnsiTheme="minorHAnsi"/>
          <w:sz w:val="22"/>
          <w:szCs w:val="22"/>
        </w:rPr>
        <w:t xml:space="preserve"> </w:t>
      </w:r>
      <w:r w:rsidRPr="00290348">
        <w:rPr>
          <w:rFonts w:asciiTheme="minorHAnsi" w:hAnsiTheme="minorHAnsi"/>
          <w:sz w:val="22"/>
          <w:szCs w:val="22"/>
        </w:rPr>
        <w:t xml:space="preserve">titre des campagnes 2018/2019-3 et 2018-3 l’agence a </w:t>
      </w:r>
      <w:r>
        <w:rPr>
          <w:rFonts w:asciiTheme="minorHAnsi" w:hAnsiTheme="minorHAnsi"/>
          <w:sz w:val="22"/>
          <w:szCs w:val="22"/>
        </w:rPr>
        <w:t>ré</w:t>
      </w:r>
      <w:r w:rsidRPr="00290348">
        <w:rPr>
          <w:rFonts w:asciiTheme="minorHAnsi" w:hAnsiTheme="minorHAnsi"/>
          <w:sz w:val="22"/>
          <w:szCs w:val="22"/>
        </w:rPr>
        <w:t xml:space="preserve">tribué 98 ASESH pour un montant global de 340 800€. </w:t>
      </w:r>
      <w:r w:rsidR="00C10925" w:rsidRPr="00290348">
        <w:rPr>
          <w:rFonts w:asciiTheme="minorHAnsi" w:hAnsiTheme="minorHAnsi"/>
          <w:sz w:val="22"/>
          <w:szCs w:val="22"/>
        </w:rPr>
        <w:t xml:space="preserve">À l’issue de la période 2 du rythme sud on compte 11 ASESH pour un montant de 45 540€. </w:t>
      </w:r>
      <w:r w:rsidR="00C10925">
        <w:rPr>
          <w:rFonts w:asciiTheme="minorHAnsi" w:hAnsiTheme="minorHAnsi"/>
          <w:sz w:val="22"/>
          <w:szCs w:val="22"/>
        </w:rPr>
        <w:t xml:space="preserve">L’AEFE constate une grande disparité entre les rémunérations des ASESH dont les employeurs sont les familles et dans un souci d’équité et de maitrise des coûts </w:t>
      </w:r>
      <w:r w:rsidR="00C10925" w:rsidRPr="00BE7171">
        <w:rPr>
          <w:rFonts w:asciiTheme="minorHAnsi" w:hAnsiTheme="minorHAnsi"/>
          <w:sz w:val="22"/>
          <w:szCs w:val="22"/>
        </w:rPr>
        <w:t xml:space="preserve">réfléchit à cadrer ce dispositif en introduisant un « seuil minimum » de rétribution des </w:t>
      </w:r>
      <w:r w:rsidR="00C10925">
        <w:rPr>
          <w:rFonts w:asciiTheme="minorHAnsi" w:hAnsiTheme="minorHAnsi"/>
          <w:sz w:val="22"/>
          <w:szCs w:val="22"/>
        </w:rPr>
        <w:t>ASESH</w:t>
      </w:r>
      <w:r w:rsidR="00C10925" w:rsidRPr="00BE7171">
        <w:rPr>
          <w:rFonts w:asciiTheme="minorHAnsi" w:hAnsiTheme="minorHAnsi"/>
          <w:sz w:val="22"/>
          <w:szCs w:val="22"/>
        </w:rPr>
        <w:t xml:space="preserve"> </w:t>
      </w:r>
      <w:r w:rsidR="00994EE0">
        <w:rPr>
          <w:sz w:val="23"/>
          <w:szCs w:val="23"/>
        </w:rPr>
        <w:t xml:space="preserve">qui correspondrait au niveau de rémunération d’employés de service de droit local exerçant dans l’établissement (ATSEM par exemple) et d’un plafond </w:t>
      </w:r>
      <w:proofErr w:type="gramStart"/>
      <w:r w:rsidR="00994EE0">
        <w:rPr>
          <w:sz w:val="23"/>
          <w:szCs w:val="23"/>
        </w:rPr>
        <w:t>indicati</w:t>
      </w:r>
      <w:r w:rsidR="00994EE0">
        <w:rPr>
          <w:sz w:val="23"/>
          <w:szCs w:val="23"/>
        </w:rPr>
        <w:t xml:space="preserve">f  </w:t>
      </w:r>
      <w:r w:rsidR="00C10925">
        <w:rPr>
          <w:rFonts w:asciiTheme="minorHAnsi" w:hAnsiTheme="minorHAnsi"/>
          <w:sz w:val="22"/>
          <w:szCs w:val="22"/>
        </w:rPr>
        <w:t>à</w:t>
      </w:r>
      <w:proofErr w:type="gramEnd"/>
      <w:r w:rsidR="00C10925">
        <w:rPr>
          <w:rFonts w:asciiTheme="minorHAnsi" w:hAnsiTheme="minorHAnsi"/>
          <w:sz w:val="22"/>
          <w:szCs w:val="22"/>
        </w:rPr>
        <w:t xml:space="preserve"> définir</w:t>
      </w:r>
      <w:r w:rsidR="007550D2" w:rsidRPr="00BE7171">
        <w:rPr>
          <w:rFonts w:asciiTheme="minorHAnsi" w:hAnsiTheme="minorHAnsi"/>
          <w:sz w:val="22"/>
          <w:szCs w:val="22"/>
        </w:rPr>
        <w:t xml:space="preserve">. Autant le minima nous semble défendable autant le plafond est irréaliste dans les pays à haut niveau de vie. La mise en place </w:t>
      </w:r>
      <w:r w:rsidR="00C10925">
        <w:rPr>
          <w:rFonts w:asciiTheme="minorHAnsi" w:hAnsiTheme="minorHAnsi"/>
          <w:sz w:val="22"/>
          <w:szCs w:val="22"/>
        </w:rPr>
        <w:t>de ce cadrage risque en outre de se heurter à la législation locale du travail</w:t>
      </w:r>
      <w:r w:rsidR="007550D2" w:rsidRPr="00BE7171">
        <w:rPr>
          <w:rFonts w:asciiTheme="minorHAnsi" w:hAnsiTheme="minorHAnsi"/>
          <w:sz w:val="22"/>
          <w:szCs w:val="22"/>
        </w:rPr>
        <w:t>.</w:t>
      </w:r>
    </w:p>
    <w:p w14:paraId="7D05DF34" w14:textId="0D95AFF2" w:rsidR="00C10925" w:rsidRDefault="007550D2" w:rsidP="00C10925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>La question de l’aide aux familles non boursières touchées par une situation de besoins particuliers est posée mais l’Instruction exclut toute prise en charge.</w:t>
      </w:r>
      <w:r w:rsidR="00C10925" w:rsidRPr="00C10925">
        <w:rPr>
          <w:rFonts w:asciiTheme="minorHAnsi" w:hAnsiTheme="minorHAnsi"/>
          <w:sz w:val="22"/>
          <w:szCs w:val="22"/>
        </w:rPr>
        <w:t xml:space="preserve"> </w:t>
      </w:r>
      <w:r w:rsidR="00C10925" w:rsidRPr="00BE7171">
        <w:rPr>
          <w:rFonts w:asciiTheme="minorHAnsi" w:hAnsiTheme="minorHAnsi"/>
          <w:sz w:val="22"/>
          <w:szCs w:val="22"/>
        </w:rPr>
        <w:t>L’A</w:t>
      </w:r>
      <w:r w:rsidR="00C10925">
        <w:rPr>
          <w:rFonts w:asciiTheme="minorHAnsi" w:hAnsiTheme="minorHAnsi"/>
          <w:sz w:val="22"/>
          <w:szCs w:val="22"/>
        </w:rPr>
        <w:t>EFE</w:t>
      </w:r>
      <w:r w:rsidR="00C10925" w:rsidRPr="00BE7171">
        <w:rPr>
          <w:rFonts w:asciiTheme="minorHAnsi" w:hAnsiTheme="minorHAnsi"/>
          <w:sz w:val="22"/>
          <w:szCs w:val="22"/>
        </w:rPr>
        <w:t xml:space="preserve"> suggère</w:t>
      </w:r>
      <w:r w:rsidR="00C10925">
        <w:rPr>
          <w:rFonts w:asciiTheme="minorHAnsi" w:hAnsiTheme="minorHAnsi"/>
          <w:sz w:val="22"/>
          <w:szCs w:val="22"/>
        </w:rPr>
        <w:t xml:space="preserve"> </w:t>
      </w:r>
      <w:r w:rsidR="00C10925" w:rsidRPr="00BE7171">
        <w:rPr>
          <w:rFonts w:asciiTheme="minorHAnsi" w:hAnsiTheme="minorHAnsi"/>
          <w:sz w:val="22"/>
          <w:szCs w:val="22"/>
        </w:rPr>
        <w:t xml:space="preserve">le recours à des mécanismes locaux de solidarité. </w:t>
      </w:r>
    </w:p>
    <w:p w14:paraId="5A389C19" w14:textId="3CFECF78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</w:p>
    <w:p w14:paraId="48C95136" w14:textId="77777777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</w:p>
    <w:p w14:paraId="3CDBA50D" w14:textId="77777777" w:rsid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b/>
          <w:sz w:val="22"/>
          <w:szCs w:val="22"/>
        </w:rPr>
        <w:t>RGPD</w:t>
      </w:r>
    </w:p>
    <w:p w14:paraId="6E3D4E32" w14:textId="658C5A84" w:rsidR="007550D2" w:rsidRPr="00BE7171" w:rsidRDefault="007550D2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 xml:space="preserve">Le format des commentaires </w:t>
      </w:r>
      <w:r w:rsidR="009E0604" w:rsidRPr="00BE7171">
        <w:rPr>
          <w:rFonts w:asciiTheme="minorHAnsi" w:hAnsiTheme="minorHAnsi"/>
          <w:sz w:val="22"/>
          <w:szCs w:val="22"/>
        </w:rPr>
        <w:t xml:space="preserve">dans </w:t>
      </w:r>
      <w:r w:rsidR="00994EE0">
        <w:rPr>
          <w:rFonts w:asciiTheme="minorHAnsi" w:hAnsiTheme="minorHAnsi"/>
          <w:sz w:val="22"/>
          <w:szCs w:val="22"/>
        </w:rPr>
        <w:t>S</w:t>
      </w:r>
      <w:r w:rsidR="009E0604" w:rsidRPr="00BE7171">
        <w:rPr>
          <w:rFonts w:asciiTheme="minorHAnsi" w:hAnsiTheme="minorHAnsi"/>
          <w:sz w:val="22"/>
          <w:szCs w:val="22"/>
        </w:rPr>
        <w:t xml:space="preserve">cola est </w:t>
      </w:r>
      <w:r w:rsidRPr="00BE7171">
        <w:rPr>
          <w:rFonts w:asciiTheme="minorHAnsi" w:hAnsiTheme="minorHAnsi"/>
          <w:sz w:val="22"/>
          <w:szCs w:val="22"/>
        </w:rPr>
        <w:t>bien adopté par la grande majorité des postes, la vigilance de l’A</w:t>
      </w:r>
      <w:r w:rsidR="00C10925">
        <w:rPr>
          <w:rFonts w:asciiTheme="minorHAnsi" w:hAnsiTheme="minorHAnsi"/>
          <w:sz w:val="22"/>
          <w:szCs w:val="22"/>
        </w:rPr>
        <w:t>EFE</w:t>
      </w:r>
      <w:r w:rsidRPr="00BE7171">
        <w:rPr>
          <w:rFonts w:asciiTheme="minorHAnsi" w:hAnsiTheme="minorHAnsi"/>
          <w:sz w:val="22"/>
          <w:szCs w:val="22"/>
        </w:rPr>
        <w:t xml:space="preserve"> est maintenue.</w:t>
      </w:r>
    </w:p>
    <w:p w14:paraId="7D196706" w14:textId="2E81DE5F" w:rsidR="00BE7171" w:rsidRPr="00BE7171" w:rsidRDefault="00BE7171" w:rsidP="00BE7171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 xml:space="preserve">L’utilisation des </w:t>
      </w:r>
      <w:r w:rsidRPr="00BE7171">
        <w:rPr>
          <w:rFonts w:asciiTheme="minorHAnsi" w:hAnsiTheme="minorHAnsi"/>
          <w:b/>
          <w:sz w:val="22"/>
          <w:szCs w:val="22"/>
        </w:rPr>
        <w:t>réseaux sociaux</w:t>
      </w:r>
      <w:r w:rsidRPr="00BE7171">
        <w:rPr>
          <w:rFonts w:asciiTheme="minorHAnsi" w:hAnsiTheme="minorHAnsi"/>
          <w:sz w:val="22"/>
          <w:szCs w:val="22"/>
        </w:rPr>
        <w:t xml:space="preserve"> lors de l’instruction des dossiers est une pratique constatée dans certains postes. L’administration n’y a recours que dans le but de vérification d’informations, notamment dans des pays </w:t>
      </w:r>
      <w:r w:rsidR="00C10925">
        <w:rPr>
          <w:rFonts w:asciiTheme="minorHAnsi" w:hAnsiTheme="minorHAnsi"/>
          <w:sz w:val="22"/>
          <w:szCs w:val="22"/>
        </w:rPr>
        <w:t>à</w:t>
      </w:r>
      <w:r w:rsidRPr="00BE7171">
        <w:rPr>
          <w:rFonts w:asciiTheme="minorHAnsi" w:hAnsiTheme="minorHAnsi"/>
          <w:sz w:val="22"/>
          <w:szCs w:val="22"/>
        </w:rPr>
        <w:t xml:space="preserve"> économie dite </w:t>
      </w:r>
      <w:r>
        <w:rPr>
          <w:rFonts w:asciiTheme="minorHAnsi" w:hAnsiTheme="minorHAnsi"/>
          <w:sz w:val="22"/>
          <w:szCs w:val="22"/>
        </w:rPr>
        <w:t xml:space="preserve">« </w:t>
      </w:r>
      <w:r w:rsidRPr="00BE7171">
        <w:rPr>
          <w:rFonts w:asciiTheme="minorHAnsi" w:hAnsiTheme="minorHAnsi"/>
          <w:sz w:val="22"/>
          <w:szCs w:val="22"/>
        </w:rPr>
        <w:t xml:space="preserve">informelle ». </w:t>
      </w:r>
      <w:r>
        <w:rPr>
          <w:rFonts w:asciiTheme="minorHAnsi" w:hAnsiTheme="minorHAnsi"/>
          <w:sz w:val="22"/>
          <w:szCs w:val="22"/>
        </w:rPr>
        <w:t>En outre, l</w:t>
      </w:r>
      <w:r w:rsidRPr="00BE7171">
        <w:rPr>
          <w:rFonts w:asciiTheme="minorHAnsi" w:hAnsiTheme="minorHAnsi"/>
          <w:sz w:val="22"/>
          <w:szCs w:val="22"/>
        </w:rPr>
        <w:t>a confidentialité n’est malheureusement pas toujours respectée, les téléphones mobiles seraient à proscrire des CCB.</w:t>
      </w:r>
    </w:p>
    <w:p w14:paraId="1D8E3490" w14:textId="77777777" w:rsidR="00BE7171" w:rsidRDefault="00BE7171" w:rsidP="007550D2">
      <w:pPr>
        <w:jc w:val="both"/>
        <w:rPr>
          <w:rFonts w:asciiTheme="minorHAnsi" w:hAnsiTheme="minorHAnsi"/>
          <w:sz w:val="22"/>
          <w:szCs w:val="22"/>
        </w:rPr>
      </w:pPr>
    </w:p>
    <w:p w14:paraId="60302155" w14:textId="7297177F" w:rsidR="00EE4C9E" w:rsidRPr="00BE7171" w:rsidRDefault="009E0604" w:rsidP="007550D2">
      <w:pPr>
        <w:jc w:val="both"/>
        <w:rPr>
          <w:rFonts w:asciiTheme="minorHAnsi" w:hAnsiTheme="minorHAnsi"/>
          <w:sz w:val="22"/>
          <w:szCs w:val="22"/>
        </w:rPr>
      </w:pPr>
      <w:r w:rsidRPr="00BE7171">
        <w:rPr>
          <w:rFonts w:asciiTheme="minorHAnsi" w:hAnsiTheme="minorHAnsi"/>
          <w:sz w:val="22"/>
          <w:szCs w:val="22"/>
        </w:rPr>
        <w:t>Les problèmes</w:t>
      </w:r>
      <w:r w:rsidR="007550D2" w:rsidRPr="00BE7171">
        <w:rPr>
          <w:rFonts w:asciiTheme="minorHAnsi" w:hAnsiTheme="minorHAnsi"/>
          <w:sz w:val="22"/>
          <w:szCs w:val="22"/>
        </w:rPr>
        <w:t xml:space="preserve"> de </w:t>
      </w:r>
      <w:r w:rsidR="007550D2" w:rsidRPr="00BE7171">
        <w:rPr>
          <w:rFonts w:asciiTheme="minorHAnsi" w:hAnsiTheme="minorHAnsi"/>
          <w:b/>
          <w:sz w:val="22"/>
          <w:szCs w:val="22"/>
        </w:rPr>
        <w:t>signature des PV</w:t>
      </w:r>
      <w:r w:rsidR="007550D2" w:rsidRPr="00BE7171">
        <w:rPr>
          <w:rFonts w:asciiTheme="minorHAnsi" w:hAnsiTheme="minorHAnsi"/>
          <w:sz w:val="22"/>
          <w:szCs w:val="22"/>
        </w:rPr>
        <w:t xml:space="preserve"> (des fiches d’émargement)</w:t>
      </w:r>
      <w:r w:rsidRPr="00BE7171">
        <w:rPr>
          <w:rFonts w:asciiTheme="minorHAnsi" w:hAnsiTheme="minorHAnsi"/>
          <w:sz w:val="22"/>
          <w:szCs w:val="22"/>
        </w:rPr>
        <w:t xml:space="preserve"> sont  récurrents</w:t>
      </w:r>
      <w:r w:rsidR="007550D2" w:rsidRPr="00BE7171">
        <w:rPr>
          <w:rFonts w:asciiTheme="minorHAnsi" w:hAnsiTheme="minorHAnsi"/>
          <w:sz w:val="22"/>
          <w:szCs w:val="22"/>
        </w:rPr>
        <w:t>, certains membres des CCB ne pouvant signer ou ne souhaita</w:t>
      </w:r>
      <w:r w:rsidRPr="00BE7171">
        <w:rPr>
          <w:rFonts w:asciiTheme="minorHAnsi" w:hAnsiTheme="minorHAnsi"/>
          <w:sz w:val="22"/>
          <w:szCs w:val="22"/>
        </w:rPr>
        <w:t>nt pas revenir signer au poste.</w:t>
      </w:r>
      <w:r w:rsidR="003B2A7D" w:rsidRPr="00BE7171">
        <w:rPr>
          <w:rFonts w:asciiTheme="minorHAnsi" w:hAnsiTheme="minorHAnsi"/>
          <w:sz w:val="22"/>
          <w:szCs w:val="22"/>
        </w:rPr>
        <w:t xml:space="preserve"> Il </w:t>
      </w:r>
      <w:r w:rsidR="00BE7171">
        <w:rPr>
          <w:rFonts w:asciiTheme="minorHAnsi" w:hAnsiTheme="minorHAnsi"/>
          <w:sz w:val="22"/>
          <w:szCs w:val="22"/>
        </w:rPr>
        <w:t>est primordial</w:t>
      </w:r>
      <w:r w:rsidR="003B2A7D" w:rsidRPr="00BE7171">
        <w:rPr>
          <w:rFonts w:asciiTheme="minorHAnsi" w:hAnsiTheme="minorHAnsi"/>
          <w:sz w:val="22"/>
          <w:szCs w:val="22"/>
        </w:rPr>
        <w:t xml:space="preserve"> que les postes distinguent liste de présence </w:t>
      </w:r>
      <w:r w:rsidR="00EE4C9E" w:rsidRPr="00BE7171">
        <w:rPr>
          <w:rFonts w:asciiTheme="minorHAnsi" w:hAnsiTheme="minorHAnsi"/>
          <w:sz w:val="22"/>
          <w:szCs w:val="22"/>
        </w:rPr>
        <w:t xml:space="preserve">(en CCB) </w:t>
      </w:r>
      <w:r w:rsidR="003B2A7D" w:rsidRPr="00BE7171">
        <w:rPr>
          <w:rFonts w:asciiTheme="minorHAnsi" w:hAnsiTheme="minorHAnsi"/>
          <w:sz w:val="22"/>
          <w:szCs w:val="22"/>
        </w:rPr>
        <w:t>et liste d’émargement</w:t>
      </w:r>
      <w:r w:rsidR="00EE4C9E" w:rsidRPr="00BE7171">
        <w:rPr>
          <w:rFonts w:asciiTheme="minorHAnsi" w:hAnsiTheme="minorHAnsi"/>
          <w:sz w:val="22"/>
          <w:szCs w:val="22"/>
        </w:rPr>
        <w:t>, destinée à l’approbation des délibérations</w:t>
      </w:r>
      <w:r w:rsidR="003B2A7D" w:rsidRPr="00BE7171">
        <w:rPr>
          <w:rFonts w:asciiTheme="minorHAnsi" w:hAnsiTheme="minorHAnsi"/>
          <w:sz w:val="22"/>
          <w:szCs w:val="22"/>
        </w:rPr>
        <w:t>.</w:t>
      </w:r>
      <w:r w:rsidRPr="00BE7171">
        <w:rPr>
          <w:rFonts w:asciiTheme="minorHAnsi" w:hAnsiTheme="minorHAnsi"/>
          <w:sz w:val="22"/>
          <w:szCs w:val="22"/>
        </w:rPr>
        <w:t xml:space="preserve"> </w:t>
      </w:r>
    </w:p>
    <w:p w14:paraId="6FC74A05" w14:textId="77777777" w:rsidR="00EE4C9E" w:rsidRPr="00BE7171" w:rsidRDefault="00EE4C9E" w:rsidP="007550D2">
      <w:pPr>
        <w:jc w:val="both"/>
        <w:rPr>
          <w:rFonts w:asciiTheme="minorHAnsi" w:hAnsiTheme="minorHAnsi"/>
          <w:sz w:val="22"/>
          <w:szCs w:val="22"/>
        </w:rPr>
      </w:pPr>
    </w:p>
    <w:p w14:paraId="5F9B3E2E" w14:textId="7306753A" w:rsidR="00A64C3F" w:rsidRPr="001D7482" w:rsidRDefault="000D78E9" w:rsidP="007550D2">
      <w:pPr>
        <w:pStyle w:val="Corpsdetexte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r w:rsidRPr="001D7482">
        <w:rPr>
          <w:rFonts w:asciiTheme="minorHAnsi" w:hAnsiTheme="minorHAnsi"/>
          <w:b/>
          <w:bCs/>
          <w:sz w:val="22"/>
          <w:szCs w:val="22"/>
        </w:rPr>
        <w:t>Prochaine CNB les 10 et 11 décembre.</w:t>
      </w:r>
    </w:p>
    <w:bookmarkEnd w:id="0"/>
    <w:p w14:paraId="3F888295" w14:textId="77777777" w:rsidR="000D78E9" w:rsidRPr="00BE7171" w:rsidRDefault="000D78E9" w:rsidP="007550D2">
      <w:pPr>
        <w:pStyle w:val="Corpsdetexte"/>
        <w:rPr>
          <w:rFonts w:asciiTheme="minorHAnsi" w:hAnsiTheme="minorHAnsi"/>
          <w:sz w:val="22"/>
          <w:szCs w:val="22"/>
        </w:rPr>
      </w:pPr>
    </w:p>
    <w:p w14:paraId="61AD601F" w14:textId="0E32BC42" w:rsidR="000F054D" w:rsidRPr="00BE7171" w:rsidRDefault="001A200A" w:rsidP="007550D2">
      <w:pPr>
        <w:pStyle w:val="Corpsdetexte"/>
        <w:rPr>
          <w:rFonts w:asciiTheme="minorHAnsi" w:hAnsiTheme="minorHAnsi"/>
          <w:sz w:val="22"/>
          <w:szCs w:val="22"/>
        </w:rPr>
      </w:pPr>
      <w:r w:rsidRPr="001A200A">
        <w:rPr>
          <w:rFonts w:asciiTheme="minorHAnsi" w:hAnsiTheme="minorHAnsi"/>
          <w:b/>
          <w:sz w:val="22"/>
          <w:szCs w:val="22"/>
        </w:rPr>
        <w:sym w:font="Wingdings" w:char="F0C4"/>
      </w:r>
      <w:r>
        <w:rPr>
          <w:rFonts w:asciiTheme="minorHAnsi" w:hAnsiTheme="minorHAnsi"/>
          <w:sz w:val="22"/>
          <w:szCs w:val="22"/>
        </w:rPr>
        <w:t xml:space="preserve"> </w:t>
      </w:r>
      <w:r w:rsidR="00996156" w:rsidRPr="001A200A">
        <w:rPr>
          <w:rFonts w:asciiTheme="minorHAnsi" w:hAnsiTheme="minorHAnsi"/>
          <w:i/>
          <w:sz w:val="22"/>
          <w:szCs w:val="22"/>
        </w:rPr>
        <w:t>Nous comptons sur vous, conseillers consulaires et représentants de Français du monde,  pour jouer tout votre rôle dans ces conseils consulaires des bourses et restons à votre écoute pour tous renseignements ou compléments d’informations qui vous seraient utiles pour aider au mieux les familles boursières</w:t>
      </w:r>
      <w:r w:rsidR="00625075" w:rsidRPr="001A200A">
        <w:rPr>
          <w:rFonts w:asciiTheme="minorHAnsi" w:hAnsiTheme="minorHAnsi"/>
          <w:i/>
          <w:sz w:val="22"/>
          <w:szCs w:val="22"/>
        </w:rPr>
        <w:t xml:space="preserve">. </w:t>
      </w:r>
      <w:r w:rsidR="00612ADA" w:rsidRPr="001A200A">
        <w:rPr>
          <w:rFonts w:asciiTheme="minorHAnsi" w:hAnsiTheme="minorHAnsi"/>
          <w:i/>
          <w:sz w:val="22"/>
          <w:szCs w:val="22"/>
        </w:rPr>
        <w:t>Nous souhaiterions savoir si ce compte rendu - que nous nous efforçons de vous envoyer dans les jours qui suivent la CNB - vous est utile ? Correspond-il à votre attente dans la forme et dans le fond ? Si non, merci de nous dire comment nous pourrions l’améliorer</w:t>
      </w:r>
      <w:r w:rsidR="00933E40" w:rsidRPr="001A200A">
        <w:rPr>
          <w:rFonts w:asciiTheme="minorHAnsi" w:hAnsiTheme="minorHAnsi"/>
          <w:i/>
          <w:sz w:val="22"/>
          <w:szCs w:val="22"/>
        </w:rPr>
        <w:t>.</w:t>
      </w:r>
      <w:r w:rsidR="00933E40" w:rsidRPr="00BE7171">
        <w:rPr>
          <w:rFonts w:asciiTheme="minorHAnsi" w:hAnsiTheme="minorHAnsi"/>
          <w:sz w:val="22"/>
          <w:szCs w:val="22"/>
        </w:rPr>
        <w:t xml:space="preserve"> </w:t>
      </w:r>
    </w:p>
    <w:p w14:paraId="349A6A7E" w14:textId="77777777" w:rsidR="000D78E9" w:rsidRDefault="000D78E9" w:rsidP="007550D2">
      <w:pPr>
        <w:jc w:val="both"/>
        <w:rPr>
          <w:rFonts w:asciiTheme="minorHAnsi" w:hAnsiTheme="minorHAnsi"/>
          <w:color w:val="3366FF"/>
        </w:rPr>
      </w:pPr>
    </w:p>
    <w:p w14:paraId="22F4215E" w14:textId="77777777" w:rsidR="000D78E9" w:rsidRPr="00625075" w:rsidRDefault="000D78E9" w:rsidP="007550D2">
      <w:pPr>
        <w:jc w:val="both"/>
        <w:rPr>
          <w:rFonts w:asciiTheme="minorHAnsi" w:hAnsiTheme="minorHAnsi"/>
          <w:color w:val="3366FF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12ADA" w14:paraId="00F22530" w14:textId="77777777" w:rsidTr="00465888">
        <w:tc>
          <w:tcPr>
            <w:tcW w:w="4678" w:type="dxa"/>
          </w:tcPr>
          <w:p w14:paraId="39865F3D" w14:textId="77777777" w:rsidR="00612ADA" w:rsidRPr="00465888" w:rsidRDefault="00612ADA" w:rsidP="004C5C5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65888">
              <w:rPr>
                <w:rFonts w:asciiTheme="minorHAnsi" w:hAnsiTheme="minorHAnsi"/>
                <w:b/>
                <w:i/>
              </w:rPr>
              <w:t>Michèle Bloch</w:t>
            </w:r>
          </w:p>
          <w:p w14:paraId="760804F8" w14:textId="58A52B6B" w:rsidR="00612ADA" w:rsidRPr="00465888" w:rsidRDefault="00DA3DC5" w:rsidP="004C5C50">
            <w:pPr>
              <w:jc w:val="center"/>
              <w:rPr>
                <w:rFonts w:asciiTheme="minorHAnsi" w:hAnsiTheme="minorHAnsi"/>
                <w:b/>
                <w:i/>
                <w:color w:val="0070C0"/>
              </w:rPr>
            </w:pPr>
            <w:hyperlink r:id="rId7" w:history="1">
              <w:r w:rsidR="00612ADA" w:rsidRPr="00465888">
                <w:rPr>
                  <w:rStyle w:val="Lienhypertexte"/>
                  <w:rFonts w:asciiTheme="minorHAnsi" w:hAnsiTheme="minorHAnsi"/>
                  <w:b/>
                  <w:i/>
                  <w:color w:val="0070C0"/>
                  <w:u w:val="none"/>
                </w:rPr>
                <w:t>michele.bloch@adfe.org</w:t>
              </w:r>
            </w:hyperlink>
          </w:p>
        </w:tc>
        <w:tc>
          <w:tcPr>
            <w:tcW w:w="4678" w:type="dxa"/>
          </w:tcPr>
          <w:p w14:paraId="14201EC9" w14:textId="77777777" w:rsidR="00465888" w:rsidRPr="00465888" w:rsidRDefault="00465888" w:rsidP="004C5C50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65888">
              <w:rPr>
                <w:rFonts w:asciiTheme="minorHAnsi" w:hAnsiTheme="minorHAnsi"/>
                <w:b/>
                <w:i/>
              </w:rPr>
              <w:t xml:space="preserve">Philippe </w:t>
            </w:r>
            <w:proofErr w:type="spellStart"/>
            <w:r w:rsidRPr="00465888">
              <w:rPr>
                <w:rFonts w:asciiTheme="minorHAnsi" w:hAnsiTheme="minorHAnsi"/>
                <w:b/>
                <w:i/>
              </w:rPr>
              <w:t>Loiseau</w:t>
            </w:r>
            <w:proofErr w:type="spellEnd"/>
          </w:p>
          <w:p w14:paraId="2CB3989A" w14:textId="2F49CF0D" w:rsidR="00612ADA" w:rsidRPr="00465888" w:rsidRDefault="00612ADA" w:rsidP="004C5C50">
            <w:pPr>
              <w:jc w:val="center"/>
              <w:rPr>
                <w:rFonts w:asciiTheme="minorHAnsi" w:hAnsiTheme="minorHAnsi"/>
                <w:b/>
                <w:i/>
                <w:color w:val="0070C0"/>
              </w:rPr>
            </w:pPr>
            <w:r w:rsidRPr="00465888">
              <w:rPr>
                <w:rFonts w:asciiTheme="minorHAnsi" w:hAnsiTheme="minorHAnsi"/>
                <w:b/>
                <w:i/>
                <w:color w:val="0070C0"/>
              </w:rPr>
              <w:t xml:space="preserve"> </w:t>
            </w:r>
            <w:hyperlink r:id="rId8" w:history="1">
              <w:r w:rsidRPr="00465888">
                <w:rPr>
                  <w:rStyle w:val="Lienhypertexte"/>
                  <w:rFonts w:asciiTheme="minorHAnsi" w:hAnsiTheme="minorHAnsi"/>
                  <w:b/>
                  <w:i/>
                  <w:color w:val="0070C0"/>
                  <w:u w:val="none"/>
                </w:rPr>
                <w:t>philippeloiseau@aol.com</w:t>
              </w:r>
            </w:hyperlink>
          </w:p>
        </w:tc>
      </w:tr>
    </w:tbl>
    <w:p w14:paraId="648962B9" w14:textId="77777777" w:rsidR="0041548C" w:rsidRPr="00B6440A" w:rsidRDefault="0041548C" w:rsidP="00994EE0">
      <w:pPr>
        <w:rPr>
          <w:color w:val="3366FF"/>
        </w:rPr>
      </w:pPr>
    </w:p>
    <w:sectPr w:rsidR="0041548C" w:rsidRPr="00B6440A" w:rsidSect="007550D2">
      <w:footerReference w:type="default" r:id="rId9"/>
      <w:headerReference w:type="first" r:id="rId10"/>
      <w:footerReference w:type="first" r:id="rId11"/>
      <w:pgSz w:w="11900" w:h="16840"/>
      <w:pgMar w:top="851" w:right="1247" w:bottom="851" w:left="1247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FB023" w14:textId="77777777" w:rsidR="00DA3DC5" w:rsidRDefault="00DA3DC5" w:rsidP="000F054D">
      <w:r>
        <w:separator/>
      </w:r>
    </w:p>
  </w:endnote>
  <w:endnote w:type="continuationSeparator" w:id="0">
    <w:p w14:paraId="0BCC5416" w14:textId="77777777" w:rsidR="00DA3DC5" w:rsidRDefault="00DA3DC5" w:rsidP="000F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46FF3" w14:textId="3CBC6D34" w:rsidR="002F4B29" w:rsidRPr="001754D3" w:rsidRDefault="002F4B29" w:rsidP="001754D3">
    <w:pPr>
      <w:pStyle w:val="Pieddepage"/>
      <w:ind w:firstLine="709"/>
      <w:jc w:val="right"/>
      <w:rPr>
        <w:b/>
      </w:rPr>
    </w:pPr>
    <w:r w:rsidRPr="00042E1E">
      <w:rPr>
        <w:rStyle w:val="Numrodepage"/>
        <w:b/>
      </w:rPr>
      <w:fldChar w:fldCharType="begin"/>
    </w:r>
    <w:r w:rsidRPr="00042E1E">
      <w:rPr>
        <w:rStyle w:val="Numrodepage"/>
        <w:b/>
      </w:rPr>
      <w:instrText xml:space="preserve"> PAGE </w:instrText>
    </w:r>
    <w:r w:rsidRPr="00042E1E">
      <w:rPr>
        <w:rStyle w:val="Numrodepage"/>
        <w:b/>
      </w:rPr>
      <w:fldChar w:fldCharType="separate"/>
    </w:r>
    <w:r w:rsidR="001A200A">
      <w:rPr>
        <w:rStyle w:val="Numrodepage"/>
        <w:b/>
        <w:noProof/>
      </w:rPr>
      <w:t>2</w:t>
    </w:r>
    <w:r w:rsidRPr="00042E1E">
      <w:rPr>
        <w:rStyle w:val="Numrodepage"/>
        <w:b/>
      </w:rPr>
      <w:fldChar w:fldCharType="end"/>
    </w:r>
    <w:r w:rsidRPr="00042E1E">
      <w:rPr>
        <w:rStyle w:val="Numrodepage"/>
        <w:b/>
      </w:rPr>
      <w:t>/</w:t>
    </w:r>
    <w:r w:rsidR="00994EE0">
      <w:rPr>
        <w:rStyle w:val="Numrodepage"/>
        <w:b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B8E6" w14:textId="77777777" w:rsidR="002F4B29" w:rsidRPr="000F054D" w:rsidRDefault="002F4B29" w:rsidP="000F054D">
    <w:pPr>
      <w:pStyle w:val="Pieddepage"/>
      <w:jc w:val="right"/>
      <w:rPr>
        <w:rFonts w:asciiTheme="minorHAnsi" w:hAnsiTheme="minorHAnsi"/>
        <w:b/>
        <w:sz w:val="22"/>
        <w:szCs w:val="22"/>
      </w:rPr>
    </w:pPr>
    <w:r w:rsidRPr="000F054D">
      <w:rPr>
        <w:rStyle w:val="Numrodepage"/>
        <w:rFonts w:asciiTheme="minorHAnsi" w:hAnsiTheme="minorHAnsi"/>
        <w:b/>
        <w:sz w:val="22"/>
        <w:szCs w:val="22"/>
      </w:rPr>
      <w:fldChar w:fldCharType="begin"/>
    </w:r>
    <w:r w:rsidRPr="000F054D">
      <w:rPr>
        <w:rStyle w:val="Numrodepage"/>
        <w:rFonts w:asciiTheme="minorHAnsi" w:hAnsiTheme="minorHAnsi"/>
        <w:b/>
        <w:sz w:val="22"/>
        <w:szCs w:val="22"/>
      </w:rPr>
      <w:instrText xml:space="preserve"> PAGE </w:instrText>
    </w:r>
    <w:r w:rsidRPr="000F054D">
      <w:rPr>
        <w:rStyle w:val="Numrodepage"/>
        <w:rFonts w:asciiTheme="minorHAnsi" w:hAnsiTheme="minorHAnsi"/>
        <w:b/>
        <w:sz w:val="22"/>
        <w:szCs w:val="22"/>
      </w:rPr>
      <w:fldChar w:fldCharType="separate"/>
    </w:r>
    <w:r w:rsidR="001A200A">
      <w:rPr>
        <w:rStyle w:val="Numrodepage"/>
        <w:rFonts w:asciiTheme="minorHAnsi" w:hAnsiTheme="minorHAnsi"/>
        <w:b/>
        <w:noProof/>
        <w:sz w:val="22"/>
        <w:szCs w:val="22"/>
      </w:rPr>
      <w:t>1</w:t>
    </w:r>
    <w:r w:rsidRPr="000F054D">
      <w:rPr>
        <w:rStyle w:val="Numrodepage"/>
        <w:rFonts w:asciiTheme="minorHAnsi" w:hAnsiTheme="minorHAnsi"/>
        <w:b/>
        <w:sz w:val="22"/>
        <w:szCs w:val="22"/>
      </w:rPr>
      <w:fldChar w:fldCharType="end"/>
    </w:r>
    <w:r w:rsidRPr="000F054D">
      <w:rPr>
        <w:rStyle w:val="Numrodepage"/>
        <w:rFonts w:asciiTheme="minorHAnsi" w:hAnsiTheme="minorHAnsi"/>
        <w:b/>
        <w:sz w:val="22"/>
        <w:szCs w:val="22"/>
      </w:rPr>
      <w:t>/</w:t>
    </w:r>
    <w:r w:rsidRPr="000F054D">
      <w:rPr>
        <w:rStyle w:val="Numrodepage"/>
        <w:rFonts w:asciiTheme="minorHAnsi" w:hAnsiTheme="minorHAnsi"/>
        <w:b/>
        <w:sz w:val="22"/>
        <w:szCs w:val="22"/>
      </w:rPr>
      <w:fldChar w:fldCharType="begin"/>
    </w:r>
    <w:r w:rsidRPr="000F054D">
      <w:rPr>
        <w:rStyle w:val="Numrodepage"/>
        <w:rFonts w:asciiTheme="minorHAnsi" w:hAnsiTheme="minorHAnsi"/>
        <w:b/>
        <w:sz w:val="22"/>
        <w:szCs w:val="22"/>
      </w:rPr>
      <w:instrText xml:space="preserve"> NUMPAGES </w:instrText>
    </w:r>
    <w:r w:rsidRPr="000F054D">
      <w:rPr>
        <w:rStyle w:val="Numrodepage"/>
        <w:rFonts w:asciiTheme="minorHAnsi" w:hAnsiTheme="minorHAnsi"/>
        <w:b/>
        <w:sz w:val="22"/>
        <w:szCs w:val="22"/>
      </w:rPr>
      <w:fldChar w:fldCharType="separate"/>
    </w:r>
    <w:r w:rsidR="001A200A">
      <w:rPr>
        <w:rStyle w:val="Numrodepage"/>
        <w:rFonts w:asciiTheme="minorHAnsi" w:hAnsiTheme="minorHAnsi"/>
        <w:b/>
        <w:noProof/>
        <w:sz w:val="22"/>
        <w:szCs w:val="22"/>
      </w:rPr>
      <w:t>3</w:t>
    </w:r>
    <w:r w:rsidRPr="000F054D">
      <w:rPr>
        <w:rStyle w:val="Numrodepage"/>
        <w:rFonts w:asciiTheme="minorHAnsi" w:hAnsi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ECC84" w14:textId="77777777" w:rsidR="00DA3DC5" w:rsidRDefault="00DA3DC5" w:rsidP="000F054D">
      <w:r>
        <w:separator/>
      </w:r>
    </w:p>
  </w:footnote>
  <w:footnote w:type="continuationSeparator" w:id="0">
    <w:p w14:paraId="6765EABE" w14:textId="77777777" w:rsidR="00DA3DC5" w:rsidRDefault="00DA3DC5" w:rsidP="000F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834D3" w14:textId="77777777" w:rsidR="002F4B29" w:rsidRDefault="002F4B29" w:rsidP="000F054D">
    <w:pPr>
      <w:pStyle w:val="En-tte"/>
      <w:ind w:left="851"/>
      <w:rPr>
        <w:rFonts w:asciiTheme="minorHAnsi" w:hAnsiTheme="minorHAnsi" w:cs="Arial"/>
        <w:b/>
        <w:color w:val="333399"/>
        <w:sz w:val="32"/>
        <w:szCs w:val="32"/>
      </w:rPr>
    </w:pPr>
    <w:r>
      <w:rPr>
        <w:rFonts w:ascii="Arial" w:hAnsi="Arial" w:cs="Arial"/>
        <w:b/>
        <w:noProof/>
        <w:color w:val="333399"/>
        <w:sz w:val="28"/>
        <w:szCs w:val="28"/>
      </w:rPr>
      <w:drawing>
        <wp:anchor distT="0" distB="0" distL="114300" distR="114300" simplePos="0" relativeHeight="251658752" behindDoc="0" locked="0" layoutInCell="1" allowOverlap="1" wp14:anchorId="72060289" wp14:editId="6B9C4112">
          <wp:simplePos x="0" y="0"/>
          <wp:positionH relativeFrom="margin">
            <wp:posOffset>-243840</wp:posOffset>
          </wp:positionH>
          <wp:positionV relativeFrom="margin">
            <wp:posOffset>-1005840</wp:posOffset>
          </wp:positionV>
          <wp:extent cx="719455" cy="990600"/>
          <wp:effectExtent l="0" t="0" r="0" b="0"/>
          <wp:wrapSquare wrapText="largest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4F664F" w14:textId="1CEC639E" w:rsidR="002F4B29" w:rsidRPr="005411FF" w:rsidRDefault="002F4B29" w:rsidP="00996156">
    <w:pPr>
      <w:pStyle w:val="En-tte"/>
      <w:ind w:left="851"/>
      <w:jc w:val="center"/>
      <w:rPr>
        <w:rFonts w:ascii="Arial" w:hAnsi="Arial" w:cs="Arial"/>
        <w:b/>
        <w:i/>
        <w:color w:val="333399"/>
        <w:sz w:val="28"/>
        <w:szCs w:val="28"/>
      </w:rPr>
    </w:pPr>
    <w:r>
      <w:rPr>
        <w:rFonts w:asciiTheme="minorHAnsi" w:hAnsiTheme="minorHAnsi" w:cs="Arial"/>
        <w:b/>
        <w:color w:val="333399"/>
        <w:sz w:val="32"/>
        <w:szCs w:val="32"/>
      </w:rPr>
      <w:tab/>
    </w:r>
    <w:r w:rsidRPr="000414F4">
      <w:rPr>
        <w:rFonts w:asciiTheme="minorHAnsi" w:hAnsiTheme="minorHAnsi" w:cs="Arial"/>
        <w:b/>
        <w:color w:val="333399"/>
        <w:sz w:val="32"/>
        <w:szCs w:val="32"/>
      </w:rPr>
      <w:t>Commission nationale des Bourses scolaires</w:t>
    </w:r>
    <w:r>
      <w:rPr>
        <w:rFonts w:asciiTheme="minorHAnsi" w:hAnsiTheme="minorHAnsi" w:cs="Arial"/>
        <w:b/>
        <w:i/>
        <w:color w:val="333399"/>
        <w:sz w:val="32"/>
        <w:szCs w:val="32"/>
      </w:rPr>
      <w:tab/>
      <w:t xml:space="preserve"> </w:t>
    </w:r>
    <w:r>
      <w:rPr>
        <w:rFonts w:asciiTheme="minorHAnsi" w:hAnsiTheme="minorHAnsi" w:cs="Arial"/>
        <w:b/>
        <w:i/>
        <w:color w:val="333399"/>
        <w:sz w:val="32"/>
        <w:szCs w:val="32"/>
      </w:rPr>
      <w:br/>
      <w:t>1</w:t>
    </w:r>
    <w:r w:rsidR="003839A0">
      <w:rPr>
        <w:rFonts w:asciiTheme="minorHAnsi" w:hAnsiTheme="minorHAnsi" w:cs="Arial"/>
        <w:b/>
        <w:i/>
        <w:color w:val="333399"/>
        <w:sz w:val="32"/>
        <w:szCs w:val="32"/>
      </w:rPr>
      <w:t>2</w:t>
    </w:r>
    <w:r w:rsidRPr="000414F4">
      <w:rPr>
        <w:rFonts w:asciiTheme="minorHAnsi" w:hAnsiTheme="minorHAnsi" w:cs="Arial"/>
        <w:b/>
        <w:i/>
        <w:color w:val="333399"/>
        <w:sz w:val="32"/>
        <w:szCs w:val="32"/>
      </w:rPr>
      <w:t xml:space="preserve"> et </w:t>
    </w:r>
    <w:r>
      <w:rPr>
        <w:rFonts w:asciiTheme="minorHAnsi" w:hAnsiTheme="minorHAnsi" w:cs="Arial"/>
        <w:b/>
        <w:i/>
        <w:color w:val="333399"/>
        <w:sz w:val="32"/>
        <w:szCs w:val="32"/>
      </w:rPr>
      <w:t>1</w:t>
    </w:r>
    <w:r w:rsidR="003839A0">
      <w:rPr>
        <w:rFonts w:asciiTheme="minorHAnsi" w:hAnsiTheme="minorHAnsi" w:cs="Arial"/>
        <w:b/>
        <w:i/>
        <w:color w:val="333399"/>
        <w:sz w:val="32"/>
        <w:szCs w:val="32"/>
      </w:rPr>
      <w:t>3</w:t>
    </w:r>
    <w:r w:rsidRPr="000414F4">
      <w:rPr>
        <w:rFonts w:asciiTheme="minorHAnsi" w:hAnsiTheme="minorHAnsi" w:cs="Arial"/>
        <w:b/>
        <w:i/>
        <w:color w:val="333399"/>
        <w:sz w:val="32"/>
        <w:szCs w:val="32"/>
      </w:rPr>
      <w:t xml:space="preserve"> </w:t>
    </w:r>
    <w:r>
      <w:rPr>
        <w:rFonts w:asciiTheme="minorHAnsi" w:hAnsiTheme="minorHAnsi" w:cs="Arial"/>
        <w:b/>
        <w:i/>
        <w:color w:val="333399"/>
        <w:sz w:val="32"/>
        <w:szCs w:val="32"/>
      </w:rPr>
      <w:t>Juin</w:t>
    </w:r>
    <w:r w:rsidRPr="000414F4">
      <w:rPr>
        <w:rFonts w:asciiTheme="minorHAnsi" w:hAnsiTheme="minorHAnsi" w:cs="Arial"/>
        <w:b/>
        <w:i/>
        <w:color w:val="333399"/>
        <w:sz w:val="32"/>
        <w:szCs w:val="32"/>
      </w:rPr>
      <w:t xml:space="preserve"> 201</w:t>
    </w:r>
    <w:r w:rsidR="003839A0">
      <w:rPr>
        <w:rFonts w:asciiTheme="minorHAnsi" w:hAnsiTheme="minorHAnsi" w:cs="Arial"/>
        <w:b/>
        <w:i/>
        <w:color w:val="333399"/>
        <w:sz w:val="32"/>
        <w:szCs w:val="32"/>
      </w:rPr>
      <w:t>9</w:t>
    </w:r>
  </w:p>
  <w:p w14:paraId="6F14AE80" w14:textId="77777777" w:rsidR="002F4B29" w:rsidRDefault="002F4B29" w:rsidP="000F054D">
    <w:pPr>
      <w:pStyle w:val="En-tte"/>
      <w:ind w:left="-284"/>
      <w:rPr>
        <w:rFonts w:ascii="Arial" w:hAnsi="Arial" w:cs="Arial"/>
        <w:b/>
        <w:color w:val="333399"/>
        <w:sz w:val="28"/>
        <w:szCs w:val="28"/>
      </w:rPr>
    </w:pPr>
  </w:p>
  <w:p w14:paraId="0777617C" w14:textId="77777777" w:rsidR="002F4B29" w:rsidRDefault="002F4B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84C"/>
    <w:multiLevelType w:val="hybridMultilevel"/>
    <w:tmpl w:val="811EFC9A"/>
    <w:lvl w:ilvl="0" w:tplc="39362C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2B43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EA65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6AA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C91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2EE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C6A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2C3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416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43B07"/>
    <w:multiLevelType w:val="hybridMultilevel"/>
    <w:tmpl w:val="62DE78FC"/>
    <w:lvl w:ilvl="0" w:tplc="8E3ABA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59C9"/>
    <w:multiLevelType w:val="hybridMultilevel"/>
    <w:tmpl w:val="54EAE6FC"/>
    <w:lvl w:ilvl="0" w:tplc="0C127D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54D"/>
    <w:rsid w:val="00010647"/>
    <w:rsid w:val="00041B87"/>
    <w:rsid w:val="000C2168"/>
    <w:rsid w:val="000D78E9"/>
    <w:rsid w:val="000E6ACE"/>
    <w:rsid w:val="000E6EE9"/>
    <w:rsid w:val="000F054D"/>
    <w:rsid w:val="00120F51"/>
    <w:rsid w:val="00136CFF"/>
    <w:rsid w:val="001540B9"/>
    <w:rsid w:val="001754D3"/>
    <w:rsid w:val="001825CA"/>
    <w:rsid w:val="00183610"/>
    <w:rsid w:val="001A200A"/>
    <w:rsid w:val="001B377E"/>
    <w:rsid w:val="001D7482"/>
    <w:rsid w:val="001E516E"/>
    <w:rsid w:val="00224503"/>
    <w:rsid w:val="002454C3"/>
    <w:rsid w:val="00290348"/>
    <w:rsid w:val="002D13EF"/>
    <w:rsid w:val="002F0068"/>
    <w:rsid w:val="002F223B"/>
    <w:rsid w:val="002F4B29"/>
    <w:rsid w:val="002F5236"/>
    <w:rsid w:val="003240EE"/>
    <w:rsid w:val="0035744D"/>
    <w:rsid w:val="00367FF3"/>
    <w:rsid w:val="003839A0"/>
    <w:rsid w:val="003965A1"/>
    <w:rsid w:val="003A0B22"/>
    <w:rsid w:val="003B2A7D"/>
    <w:rsid w:val="003B7518"/>
    <w:rsid w:val="003F3C36"/>
    <w:rsid w:val="0041548C"/>
    <w:rsid w:val="00415A99"/>
    <w:rsid w:val="004271C9"/>
    <w:rsid w:val="004322A8"/>
    <w:rsid w:val="00462DC6"/>
    <w:rsid w:val="00465888"/>
    <w:rsid w:val="00494724"/>
    <w:rsid w:val="004A50F7"/>
    <w:rsid w:val="004C359E"/>
    <w:rsid w:val="004C4738"/>
    <w:rsid w:val="004C5C50"/>
    <w:rsid w:val="004E2B70"/>
    <w:rsid w:val="00566355"/>
    <w:rsid w:val="005741C8"/>
    <w:rsid w:val="005B0205"/>
    <w:rsid w:val="005B40C1"/>
    <w:rsid w:val="006047D0"/>
    <w:rsid w:val="00606723"/>
    <w:rsid w:val="00612ADA"/>
    <w:rsid w:val="00617009"/>
    <w:rsid w:val="00624BAB"/>
    <w:rsid w:val="00625075"/>
    <w:rsid w:val="00626A57"/>
    <w:rsid w:val="00661F6D"/>
    <w:rsid w:val="00673DB1"/>
    <w:rsid w:val="006E06A7"/>
    <w:rsid w:val="006F7B2E"/>
    <w:rsid w:val="00715F52"/>
    <w:rsid w:val="007550D2"/>
    <w:rsid w:val="007626B6"/>
    <w:rsid w:val="00774FF2"/>
    <w:rsid w:val="00775D49"/>
    <w:rsid w:val="00777310"/>
    <w:rsid w:val="007804A8"/>
    <w:rsid w:val="00794C5C"/>
    <w:rsid w:val="007E4FAC"/>
    <w:rsid w:val="00813329"/>
    <w:rsid w:val="008513D9"/>
    <w:rsid w:val="00877D54"/>
    <w:rsid w:val="00884E15"/>
    <w:rsid w:val="00891422"/>
    <w:rsid w:val="00897F7E"/>
    <w:rsid w:val="008D52F7"/>
    <w:rsid w:val="008E1477"/>
    <w:rsid w:val="009040AC"/>
    <w:rsid w:val="00910A8B"/>
    <w:rsid w:val="00933E40"/>
    <w:rsid w:val="00946AEF"/>
    <w:rsid w:val="00951749"/>
    <w:rsid w:val="00971710"/>
    <w:rsid w:val="00972C7B"/>
    <w:rsid w:val="00994EE0"/>
    <w:rsid w:val="00996156"/>
    <w:rsid w:val="009A04A5"/>
    <w:rsid w:val="009E0604"/>
    <w:rsid w:val="009F2521"/>
    <w:rsid w:val="009F6C1E"/>
    <w:rsid w:val="00A11EB0"/>
    <w:rsid w:val="00A46F30"/>
    <w:rsid w:val="00A5214B"/>
    <w:rsid w:val="00A57045"/>
    <w:rsid w:val="00A64C3F"/>
    <w:rsid w:val="00A67046"/>
    <w:rsid w:val="00A82229"/>
    <w:rsid w:val="00AA458C"/>
    <w:rsid w:val="00AA75A5"/>
    <w:rsid w:val="00AE5849"/>
    <w:rsid w:val="00B17C2D"/>
    <w:rsid w:val="00B60087"/>
    <w:rsid w:val="00B6440A"/>
    <w:rsid w:val="00B86210"/>
    <w:rsid w:val="00BB1C7F"/>
    <w:rsid w:val="00BE7171"/>
    <w:rsid w:val="00C014FE"/>
    <w:rsid w:val="00C01560"/>
    <w:rsid w:val="00C0269B"/>
    <w:rsid w:val="00C10925"/>
    <w:rsid w:val="00C16CDB"/>
    <w:rsid w:val="00C25E25"/>
    <w:rsid w:val="00C30F07"/>
    <w:rsid w:val="00C61F98"/>
    <w:rsid w:val="00C6213C"/>
    <w:rsid w:val="00C76733"/>
    <w:rsid w:val="00CC122F"/>
    <w:rsid w:val="00CC19F6"/>
    <w:rsid w:val="00CC1B82"/>
    <w:rsid w:val="00CE0668"/>
    <w:rsid w:val="00D62922"/>
    <w:rsid w:val="00D82256"/>
    <w:rsid w:val="00DA3DC5"/>
    <w:rsid w:val="00DE4F18"/>
    <w:rsid w:val="00E00C00"/>
    <w:rsid w:val="00E55742"/>
    <w:rsid w:val="00E813FA"/>
    <w:rsid w:val="00ED1DCB"/>
    <w:rsid w:val="00ED499D"/>
    <w:rsid w:val="00EE4C9E"/>
    <w:rsid w:val="00F16757"/>
    <w:rsid w:val="00F547C2"/>
    <w:rsid w:val="00F67A95"/>
    <w:rsid w:val="00F77483"/>
    <w:rsid w:val="00F82E98"/>
    <w:rsid w:val="00FA062F"/>
    <w:rsid w:val="00FB0705"/>
    <w:rsid w:val="00FB1511"/>
    <w:rsid w:val="00FC4CED"/>
    <w:rsid w:val="00FC67BB"/>
    <w:rsid w:val="00FF3531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617A3"/>
  <w14:defaultImageDpi w14:val="300"/>
  <w15:docId w15:val="{6DDD9F4D-CE52-8B42-8A9E-6037F348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54D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054D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F054D"/>
    <w:rPr>
      <w:rFonts w:ascii="Times New Roman" w:eastAsia="Times New Roman" w:hAnsi="Times New Roman" w:cs="Times New Roman"/>
      <w:szCs w:val="20"/>
    </w:rPr>
  </w:style>
  <w:style w:type="paragraph" w:styleId="Corpsdetexte3">
    <w:name w:val="Body Text 3"/>
    <w:basedOn w:val="Normal"/>
    <w:link w:val="Corpsdetexte3Car"/>
    <w:rsid w:val="000F054D"/>
    <w:pPr>
      <w:jc w:val="center"/>
    </w:pPr>
    <w:rPr>
      <w:sz w:val="22"/>
    </w:rPr>
  </w:style>
  <w:style w:type="character" w:customStyle="1" w:styleId="Corpsdetexte3Car">
    <w:name w:val="Corps de texte 3 Car"/>
    <w:basedOn w:val="Policepardfaut"/>
    <w:link w:val="Corpsdetexte3"/>
    <w:rsid w:val="000F054D"/>
    <w:rPr>
      <w:rFonts w:ascii="Times New Roman" w:eastAsia="Times New Roman" w:hAnsi="Times New Roman" w:cs="Times New Roman"/>
      <w:sz w:val="22"/>
      <w:szCs w:val="20"/>
    </w:rPr>
  </w:style>
  <w:style w:type="character" w:styleId="Lienhypertexte">
    <w:name w:val="Hyperlink"/>
    <w:rsid w:val="000F054D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0F05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054D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0F05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054D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0F054D"/>
  </w:style>
  <w:style w:type="paragraph" w:styleId="Textedebulles">
    <w:name w:val="Balloon Text"/>
    <w:basedOn w:val="Normal"/>
    <w:link w:val="TextedebullesCar"/>
    <w:uiPriority w:val="99"/>
    <w:semiHidden/>
    <w:unhideWhenUsed/>
    <w:rsid w:val="000F054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54D"/>
    <w:rPr>
      <w:rFonts w:ascii="Lucida Grande" w:eastAsia="Times New Roman" w:hAnsi="Lucida Grande" w:cs="Lucida Grande"/>
      <w:sz w:val="18"/>
      <w:szCs w:val="18"/>
    </w:rPr>
  </w:style>
  <w:style w:type="paragraph" w:customStyle="1" w:styleId="TitreBase">
    <w:name w:val="Titre Base"/>
    <w:basedOn w:val="Normal"/>
    <w:next w:val="Corpsdetexte"/>
    <w:rsid w:val="00B6440A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  <w:sz w:val="22"/>
    </w:rPr>
  </w:style>
  <w:style w:type="table" w:styleId="Grilledutableau">
    <w:name w:val="Table Grid"/>
    <w:basedOn w:val="TableauNormal"/>
    <w:uiPriority w:val="39"/>
    <w:rsid w:val="00F1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2F223B"/>
  </w:style>
  <w:style w:type="paragraph" w:customStyle="1" w:styleId="Default">
    <w:name w:val="Default"/>
    <w:rsid w:val="003839A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836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38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746">
          <w:marLeft w:val="82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63">
          <w:marLeft w:val="82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loiseau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ele.bloch@adf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1334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ADFE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Bloch</dc:creator>
  <cp:lastModifiedBy>Michele BLOCH</cp:lastModifiedBy>
  <cp:revision>14</cp:revision>
  <dcterms:created xsi:type="dcterms:W3CDTF">2019-06-16T07:41:00Z</dcterms:created>
  <dcterms:modified xsi:type="dcterms:W3CDTF">2019-06-19T17:58:00Z</dcterms:modified>
</cp:coreProperties>
</file>