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517" w:rsidRPr="00051CF4" w:rsidRDefault="002C5517">
      <w:pPr>
        <w:pStyle w:val="Titre"/>
        <w:rPr>
          <w:rFonts w:ascii="Calibri" w:hAnsi="Calibri"/>
          <w:sz w:val="28"/>
          <w:szCs w:val="28"/>
        </w:rPr>
      </w:pPr>
      <w:r w:rsidRPr="00051CF4">
        <w:rPr>
          <w:rFonts w:ascii="Calibri" w:hAnsi="Calibri"/>
          <w:sz w:val="28"/>
          <w:szCs w:val="28"/>
        </w:rPr>
        <w:t>Commission nationale des bourses scolaires</w:t>
      </w:r>
    </w:p>
    <w:p w:rsidR="002C5517" w:rsidRPr="00051CF4" w:rsidRDefault="00A41824">
      <w:pPr>
        <w:spacing w:before="120"/>
        <w:jc w:val="center"/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20</w:t>
      </w:r>
      <w:r w:rsidR="002C5517" w:rsidRPr="00051CF4">
        <w:rPr>
          <w:rFonts w:ascii="Calibri" w:hAnsi="Calibri"/>
          <w:b/>
          <w:i/>
          <w:sz w:val="28"/>
          <w:szCs w:val="28"/>
        </w:rPr>
        <w:t xml:space="preserve"> et </w:t>
      </w:r>
      <w:r>
        <w:rPr>
          <w:rFonts w:ascii="Calibri" w:hAnsi="Calibri"/>
          <w:b/>
          <w:i/>
          <w:sz w:val="28"/>
          <w:szCs w:val="28"/>
        </w:rPr>
        <w:t>21</w:t>
      </w:r>
      <w:r w:rsidR="002C5517" w:rsidRPr="00051CF4">
        <w:rPr>
          <w:rFonts w:ascii="Calibri" w:hAnsi="Calibri"/>
          <w:b/>
          <w:i/>
          <w:sz w:val="28"/>
          <w:szCs w:val="28"/>
        </w:rPr>
        <w:t xml:space="preserve"> </w:t>
      </w:r>
      <w:r w:rsidR="002C5517">
        <w:rPr>
          <w:rFonts w:ascii="Calibri" w:hAnsi="Calibri"/>
          <w:b/>
          <w:i/>
          <w:sz w:val="28"/>
          <w:szCs w:val="28"/>
        </w:rPr>
        <w:t>juin</w:t>
      </w:r>
      <w:r w:rsidR="002C5517" w:rsidRPr="00051CF4">
        <w:rPr>
          <w:rFonts w:ascii="Calibri" w:hAnsi="Calibri"/>
          <w:b/>
          <w:i/>
          <w:sz w:val="28"/>
          <w:szCs w:val="28"/>
        </w:rPr>
        <w:t xml:space="preserve"> 20</w:t>
      </w:r>
      <w:r w:rsidR="002C5517">
        <w:rPr>
          <w:rFonts w:ascii="Calibri" w:hAnsi="Calibri"/>
          <w:b/>
          <w:i/>
          <w:sz w:val="28"/>
          <w:szCs w:val="28"/>
        </w:rPr>
        <w:t>1</w:t>
      </w:r>
      <w:r>
        <w:rPr>
          <w:rFonts w:ascii="Calibri" w:hAnsi="Calibri"/>
          <w:b/>
          <w:i/>
          <w:sz w:val="28"/>
          <w:szCs w:val="28"/>
        </w:rPr>
        <w:t>2</w:t>
      </w:r>
    </w:p>
    <w:p w:rsidR="002C5517" w:rsidRPr="00051CF4" w:rsidRDefault="002C5517">
      <w:pPr>
        <w:rPr>
          <w:rFonts w:ascii="Calibri" w:hAnsi="Calibri"/>
        </w:rPr>
      </w:pPr>
    </w:p>
    <w:p w:rsidR="002C5517" w:rsidRPr="00051CF4" w:rsidRDefault="002C5517">
      <w:pPr>
        <w:rPr>
          <w:rFonts w:ascii="Calibri" w:hAnsi="Calibri"/>
        </w:rPr>
      </w:pPr>
    </w:p>
    <w:p w:rsidR="002C5517" w:rsidRPr="00051CF4" w:rsidRDefault="002C5517">
      <w:pPr>
        <w:jc w:val="both"/>
        <w:rPr>
          <w:rFonts w:ascii="Calibri" w:hAnsi="Calibri"/>
          <w:i/>
        </w:rPr>
      </w:pPr>
      <w:r w:rsidRPr="00051CF4">
        <w:rPr>
          <w:rFonts w:ascii="Calibri" w:hAnsi="Calibri"/>
          <w:i/>
        </w:rPr>
        <w:t xml:space="preserve">La Commission nationale des bourses scolaires (CNB) s’est réunie à Paris les </w:t>
      </w:r>
      <w:r w:rsidR="00A41824">
        <w:rPr>
          <w:rFonts w:ascii="Calibri" w:hAnsi="Calibri"/>
          <w:i/>
        </w:rPr>
        <w:t>20</w:t>
      </w:r>
      <w:r w:rsidRPr="00051CF4">
        <w:rPr>
          <w:rFonts w:ascii="Calibri" w:hAnsi="Calibri"/>
          <w:i/>
        </w:rPr>
        <w:t xml:space="preserve"> et </w:t>
      </w:r>
      <w:r w:rsidR="00A41824">
        <w:rPr>
          <w:rFonts w:ascii="Calibri" w:hAnsi="Calibri"/>
          <w:i/>
        </w:rPr>
        <w:t>21</w:t>
      </w:r>
      <w:r w:rsidRPr="00051CF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juin</w:t>
      </w:r>
      <w:r w:rsidRPr="00051CF4">
        <w:rPr>
          <w:rFonts w:ascii="Calibri" w:hAnsi="Calibri"/>
          <w:i/>
        </w:rPr>
        <w:t xml:space="preserve"> 20</w:t>
      </w:r>
      <w:r>
        <w:rPr>
          <w:rFonts w:ascii="Calibri" w:hAnsi="Calibri"/>
          <w:i/>
        </w:rPr>
        <w:t>1</w:t>
      </w:r>
      <w:r w:rsidR="00A41824">
        <w:rPr>
          <w:rFonts w:ascii="Calibri" w:hAnsi="Calibri"/>
          <w:i/>
        </w:rPr>
        <w:t>2</w:t>
      </w:r>
      <w:r w:rsidRPr="00051CF4">
        <w:rPr>
          <w:rFonts w:ascii="Calibri" w:hAnsi="Calibri"/>
          <w:i/>
        </w:rPr>
        <w:t xml:space="preserve">, sous la présidence de Mme Anne-Marie </w:t>
      </w:r>
      <w:proofErr w:type="spellStart"/>
      <w:r w:rsidRPr="00051CF4">
        <w:rPr>
          <w:rFonts w:ascii="Calibri" w:hAnsi="Calibri"/>
          <w:i/>
        </w:rPr>
        <w:t>Descôtes</w:t>
      </w:r>
      <w:proofErr w:type="spellEnd"/>
      <w:r w:rsidRPr="00051CF4">
        <w:rPr>
          <w:rFonts w:ascii="Calibri" w:hAnsi="Calibri"/>
          <w:i/>
        </w:rPr>
        <w:t xml:space="preserve">, directrice de l’Agence pour l’Enseignement français à l’Etranger (AEFE) et en présence de M. </w:t>
      </w:r>
      <w:r w:rsidR="00960531">
        <w:rPr>
          <w:rFonts w:ascii="Calibri" w:hAnsi="Calibri"/>
          <w:i/>
        </w:rPr>
        <w:t xml:space="preserve">François Saint Paul  </w:t>
      </w:r>
      <w:r w:rsidR="00737559">
        <w:rPr>
          <w:rFonts w:ascii="Calibri" w:hAnsi="Calibri"/>
          <w:i/>
        </w:rPr>
        <w:t>directeur des Français à l’étranger et de l’administration consulaire</w:t>
      </w:r>
      <w:r w:rsidR="00960531">
        <w:rPr>
          <w:rFonts w:ascii="Calibri" w:hAnsi="Calibri"/>
          <w:i/>
        </w:rPr>
        <w:t xml:space="preserve"> </w:t>
      </w:r>
      <w:r w:rsidRPr="00051CF4">
        <w:rPr>
          <w:rFonts w:ascii="Calibri" w:hAnsi="Calibri"/>
          <w:i/>
        </w:rPr>
        <w:t>au Ministère des Af</w:t>
      </w:r>
      <w:r w:rsidR="00960531">
        <w:rPr>
          <w:rFonts w:ascii="Calibri" w:hAnsi="Calibri"/>
          <w:i/>
        </w:rPr>
        <w:t>faires étrangères.</w:t>
      </w:r>
    </w:p>
    <w:p w:rsidR="002C5517" w:rsidRDefault="002C5517" w:rsidP="002C5517">
      <w:pPr>
        <w:jc w:val="both"/>
        <w:rPr>
          <w:rFonts w:ascii="Calibri" w:hAnsi="Calibri"/>
        </w:rPr>
      </w:pPr>
      <w:r w:rsidRPr="00051CF4">
        <w:rPr>
          <w:rFonts w:ascii="Calibri" w:hAnsi="Calibri"/>
        </w:rPr>
        <w:t xml:space="preserve">Français du Monde-ADFE était représenté par Soledad </w:t>
      </w:r>
      <w:proofErr w:type="spellStart"/>
      <w:r w:rsidRPr="00051CF4">
        <w:rPr>
          <w:rFonts w:ascii="Calibri" w:hAnsi="Calibri"/>
        </w:rPr>
        <w:t>Margareto</w:t>
      </w:r>
      <w:proofErr w:type="spellEnd"/>
      <w:r w:rsidRPr="00051CF4">
        <w:rPr>
          <w:rFonts w:ascii="Calibri" w:hAnsi="Calibri"/>
        </w:rPr>
        <w:t xml:space="preserve"> siégeant au titre de</w:t>
      </w:r>
      <w:r w:rsidR="006C6929">
        <w:rPr>
          <w:rFonts w:ascii="Calibri" w:hAnsi="Calibri"/>
        </w:rPr>
        <w:t xml:space="preserve"> l’Assemblée des Français de l’É</w:t>
      </w:r>
      <w:r w:rsidRPr="00051CF4">
        <w:rPr>
          <w:rFonts w:ascii="Calibri" w:hAnsi="Calibri"/>
        </w:rPr>
        <w:t>tranger et Michèle Bloch au titre de Français du Monde</w:t>
      </w:r>
      <w:r w:rsidR="00737559">
        <w:rPr>
          <w:rFonts w:ascii="Calibri" w:hAnsi="Calibri"/>
        </w:rPr>
        <w:t xml:space="preserve">, Claudine Lepage </w:t>
      </w:r>
      <w:r w:rsidR="00B40194">
        <w:rPr>
          <w:rFonts w:ascii="Calibri" w:hAnsi="Calibri"/>
        </w:rPr>
        <w:t>siégeait</w:t>
      </w:r>
      <w:r w:rsidR="00737559">
        <w:rPr>
          <w:rFonts w:ascii="Calibri" w:hAnsi="Calibri"/>
        </w:rPr>
        <w:t xml:space="preserve"> au titre du sénat</w:t>
      </w:r>
      <w:r w:rsidRPr="00051CF4">
        <w:rPr>
          <w:rFonts w:ascii="Calibri" w:hAnsi="Calibri"/>
        </w:rPr>
        <w:t>.</w:t>
      </w:r>
      <w:r w:rsidR="00A41824">
        <w:rPr>
          <w:rFonts w:ascii="Calibri" w:hAnsi="Calibri"/>
        </w:rPr>
        <w:t xml:space="preserve"> </w:t>
      </w:r>
    </w:p>
    <w:p w:rsidR="00B40194" w:rsidRPr="00051CF4" w:rsidRDefault="00B40194" w:rsidP="002C5517">
      <w:pPr>
        <w:jc w:val="both"/>
        <w:rPr>
          <w:rFonts w:ascii="Calibri" w:hAnsi="Calibri"/>
        </w:rPr>
      </w:pPr>
      <w:r>
        <w:rPr>
          <w:rFonts w:ascii="Calibri" w:hAnsi="Calibri"/>
        </w:rPr>
        <w:t>La directrice annonce en préambule que dans l’attente d’une décision politique concer</w:t>
      </w:r>
      <w:r w:rsidR="00C8781C">
        <w:rPr>
          <w:rFonts w:ascii="Calibri" w:hAnsi="Calibri"/>
        </w:rPr>
        <w:t>n</w:t>
      </w:r>
      <w:r>
        <w:rPr>
          <w:rFonts w:ascii="Calibri" w:hAnsi="Calibri"/>
        </w:rPr>
        <w:t xml:space="preserve">ant la PEC, </w:t>
      </w:r>
      <w:r w:rsidR="006C6929">
        <w:rPr>
          <w:rFonts w:ascii="Calibri" w:hAnsi="Calibri"/>
        </w:rPr>
        <w:t>celle-</w:t>
      </w:r>
      <w:r w:rsidR="00C8781C">
        <w:rPr>
          <w:rFonts w:ascii="Calibri" w:hAnsi="Calibri"/>
        </w:rPr>
        <w:t>ci ne sera pas évoquée pendant la commission et que les résultats de la CNB, concernant le rythme nord, ne pourront être communiqué</w:t>
      </w:r>
      <w:r w:rsidR="006C6929">
        <w:rPr>
          <w:rFonts w:ascii="Calibri" w:hAnsi="Calibri"/>
        </w:rPr>
        <w:t>s</w:t>
      </w:r>
      <w:r w:rsidR="00C8781C">
        <w:rPr>
          <w:rFonts w:ascii="Calibri" w:hAnsi="Calibri"/>
        </w:rPr>
        <w:t xml:space="preserve"> aux établissements tant que la décision sur la PEC ne sera pas prise.</w:t>
      </w:r>
    </w:p>
    <w:p w:rsidR="002C5517" w:rsidRDefault="002C5517" w:rsidP="002C5517">
      <w:pPr>
        <w:jc w:val="both"/>
        <w:rPr>
          <w:rFonts w:ascii="Calibri" w:hAnsi="Calibri"/>
          <w:b/>
          <w:sz w:val="24"/>
          <w:highlight w:val="yellow"/>
        </w:rPr>
      </w:pPr>
    </w:p>
    <w:p w:rsidR="002C5517" w:rsidRPr="006C551F" w:rsidRDefault="002C5517" w:rsidP="002C5517">
      <w:pPr>
        <w:jc w:val="both"/>
        <w:rPr>
          <w:rFonts w:ascii="Calibri" w:hAnsi="Calibri"/>
          <w:b/>
          <w:sz w:val="24"/>
        </w:rPr>
      </w:pPr>
      <w:r w:rsidRPr="006C551F">
        <w:rPr>
          <w:rFonts w:ascii="Calibri" w:hAnsi="Calibri"/>
          <w:b/>
          <w:sz w:val="24"/>
          <w:highlight w:val="yellow"/>
        </w:rPr>
        <w:t>Ce qu’il faut retenir </w:t>
      </w:r>
    </w:p>
    <w:p w:rsidR="002C5517" w:rsidRDefault="002C5517" w:rsidP="002C5517">
      <w:pPr>
        <w:jc w:val="both"/>
        <w:rPr>
          <w:rFonts w:ascii="Calibri" w:hAnsi="Calibri"/>
        </w:rPr>
      </w:pPr>
    </w:p>
    <w:p w:rsidR="004A56BB" w:rsidRDefault="004A56BB" w:rsidP="004A56BB">
      <w:pPr>
        <w:numPr>
          <w:ilvl w:val="0"/>
          <w:numId w:val="8"/>
        </w:numPr>
        <w:spacing w:before="60"/>
        <w:jc w:val="both"/>
        <w:rPr>
          <w:rFonts w:ascii="Calibri" w:hAnsi="Calibri"/>
        </w:rPr>
      </w:pPr>
      <w:r>
        <w:rPr>
          <w:rFonts w:ascii="Calibri" w:hAnsi="Calibri"/>
        </w:rPr>
        <w:t xml:space="preserve">Contrairement à ce que certains pensent, les bourses ne sont pas un droit et la décision les concernant  n’a pas à être motivée. C’est ce </w:t>
      </w:r>
      <w:r w:rsidR="003554FE">
        <w:rPr>
          <w:rFonts w:ascii="Calibri" w:hAnsi="Calibri"/>
        </w:rPr>
        <w:t>qu’affirment</w:t>
      </w:r>
      <w:r>
        <w:rPr>
          <w:rFonts w:ascii="Calibri" w:hAnsi="Calibri"/>
        </w:rPr>
        <w:t xml:space="preserve"> le tribunal administratif et le Conseil d’État dans deux jugements récents.</w:t>
      </w:r>
    </w:p>
    <w:p w:rsidR="002C5517" w:rsidRDefault="004855C5" w:rsidP="002C5517">
      <w:pPr>
        <w:numPr>
          <w:ilvl w:val="0"/>
          <w:numId w:val="8"/>
        </w:numPr>
        <w:spacing w:before="60"/>
        <w:jc w:val="both"/>
        <w:rPr>
          <w:rFonts w:ascii="Calibri" w:hAnsi="Calibri"/>
        </w:rPr>
      </w:pPr>
      <w:r>
        <w:rPr>
          <w:rFonts w:ascii="Calibri" w:hAnsi="Calibri"/>
        </w:rPr>
        <w:t xml:space="preserve">Une étude a été faite sur le </w:t>
      </w:r>
      <w:r w:rsidRPr="00A04194">
        <w:rPr>
          <w:rFonts w:ascii="Calibri" w:hAnsi="Calibri"/>
          <w:b/>
        </w:rPr>
        <w:t>point de charge loyer</w:t>
      </w:r>
      <w:r>
        <w:rPr>
          <w:rFonts w:ascii="Calibri" w:hAnsi="Calibri"/>
        </w:rPr>
        <w:t xml:space="preserve">, qui donne pour chaque poste un loyer moyen, qui devrait conduire à mieux évaluer les dossiers et permettre </w:t>
      </w:r>
      <w:r w:rsidR="00A04194">
        <w:rPr>
          <w:rFonts w:ascii="Calibri" w:hAnsi="Calibri"/>
        </w:rPr>
        <w:t>aux commissions locales</w:t>
      </w:r>
      <w:r>
        <w:rPr>
          <w:rFonts w:ascii="Calibri" w:hAnsi="Calibri"/>
        </w:rPr>
        <w:t xml:space="preserve"> de proposer une pondération le cas échéant. </w:t>
      </w:r>
    </w:p>
    <w:p w:rsidR="00B467D2" w:rsidRDefault="004855C5" w:rsidP="002C5517">
      <w:pPr>
        <w:numPr>
          <w:ilvl w:val="0"/>
          <w:numId w:val="8"/>
        </w:numPr>
        <w:spacing w:before="60"/>
        <w:jc w:val="both"/>
        <w:rPr>
          <w:rFonts w:ascii="Calibri" w:hAnsi="Calibri"/>
        </w:rPr>
      </w:pPr>
      <w:r>
        <w:rPr>
          <w:rFonts w:ascii="Calibri" w:hAnsi="Calibri"/>
          <w:b/>
        </w:rPr>
        <w:t>De trop nombreux dossiers sont ajournés</w:t>
      </w:r>
      <w:r w:rsidR="004A56BB">
        <w:rPr>
          <w:rFonts w:ascii="Calibri" w:hAnsi="Calibri"/>
          <w:b/>
        </w:rPr>
        <w:t xml:space="preserve"> </w:t>
      </w:r>
      <w:r w:rsidR="00D658AF">
        <w:rPr>
          <w:rFonts w:ascii="Calibri" w:hAnsi="Calibri"/>
          <w:b/>
        </w:rPr>
        <w:t>(</w:t>
      </w:r>
      <w:r w:rsidR="004A56BB">
        <w:rPr>
          <w:rFonts w:ascii="Calibri" w:hAnsi="Calibri"/>
          <w:b/>
        </w:rPr>
        <w:t>4,1% du total</w:t>
      </w:r>
      <w:r w:rsidR="00D658AF">
        <w:rPr>
          <w:rFonts w:ascii="Calibri" w:hAnsi="Calibri"/>
          <w:b/>
        </w:rPr>
        <w:t>)</w:t>
      </w:r>
      <w:r>
        <w:rPr>
          <w:rFonts w:ascii="Calibri" w:hAnsi="Calibri"/>
        </w:rPr>
        <w:t>, ce qui place les familles dans l’incertitude</w:t>
      </w:r>
      <w:r w:rsidR="00B467D2">
        <w:rPr>
          <w:rFonts w:ascii="Calibri" w:hAnsi="Calibri"/>
        </w:rPr>
        <w:t>, ne permet pas à l’AEFE de prévoir son budget à l’issue de la première commission et alourdi</w:t>
      </w:r>
      <w:r w:rsidR="006C6929">
        <w:rPr>
          <w:rFonts w:ascii="Calibri" w:hAnsi="Calibri"/>
        </w:rPr>
        <w:t>t</w:t>
      </w:r>
      <w:r w:rsidR="00B467D2">
        <w:rPr>
          <w:rFonts w:ascii="Calibri" w:hAnsi="Calibri"/>
        </w:rPr>
        <w:t xml:space="preserve"> le travail des agents dans les commissions. </w:t>
      </w:r>
    </w:p>
    <w:p w:rsidR="002C5517" w:rsidRDefault="006C6929" w:rsidP="002C5517">
      <w:pPr>
        <w:numPr>
          <w:ilvl w:val="0"/>
          <w:numId w:val="8"/>
        </w:numPr>
        <w:spacing w:before="60"/>
        <w:jc w:val="both"/>
        <w:rPr>
          <w:rFonts w:ascii="Calibri" w:hAnsi="Calibri"/>
        </w:rPr>
      </w:pPr>
      <w:r>
        <w:rPr>
          <w:rFonts w:ascii="Calibri" w:hAnsi="Calibri"/>
          <w:b/>
        </w:rPr>
        <w:t>Les tarifs</w:t>
      </w:r>
      <w:r w:rsidR="00B467D2" w:rsidRPr="00B467D2">
        <w:rPr>
          <w:rFonts w:ascii="Calibri" w:hAnsi="Calibri"/>
          <w:b/>
        </w:rPr>
        <w:t xml:space="preserve"> de plus en plus</w:t>
      </w:r>
      <w:r w:rsidR="00B467D2">
        <w:rPr>
          <w:rFonts w:ascii="Calibri" w:hAnsi="Calibri"/>
        </w:rPr>
        <w:t xml:space="preserve"> </w:t>
      </w:r>
      <w:r w:rsidR="00B467D2">
        <w:rPr>
          <w:rFonts w:ascii="Calibri" w:hAnsi="Calibri"/>
          <w:b/>
        </w:rPr>
        <w:t>complexes</w:t>
      </w:r>
      <w:r>
        <w:rPr>
          <w:rFonts w:ascii="Calibri" w:hAnsi="Calibri"/>
        </w:rPr>
        <w:t> </w:t>
      </w:r>
      <w:r w:rsidR="00B467D2">
        <w:rPr>
          <w:rFonts w:ascii="Calibri" w:hAnsi="Calibri"/>
        </w:rPr>
        <w:t xml:space="preserve"> rendent la gestion délicate et multiplie</w:t>
      </w:r>
      <w:r>
        <w:rPr>
          <w:rFonts w:ascii="Calibri" w:hAnsi="Calibri"/>
        </w:rPr>
        <w:t>nt</w:t>
      </w:r>
      <w:r w:rsidR="00B467D2">
        <w:rPr>
          <w:rFonts w:ascii="Calibri" w:hAnsi="Calibri"/>
        </w:rPr>
        <w:t xml:space="preserve"> les risques d’erreur. Création de frais de 1ere inscription, individuelle et familiale, inscripti</w:t>
      </w:r>
      <w:r>
        <w:rPr>
          <w:rFonts w:ascii="Calibri" w:hAnsi="Calibri"/>
        </w:rPr>
        <w:t>on annuelle, tarifs différents</w:t>
      </w:r>
      <w:r w:rsidR="00B467D2">
        <w:rPr>
          <w:rFonts w:ascii="Calibri" w:hAnsi="Calibri"/>
        </w:rPr>
        <w:t xml:space="preserve"> selon les modes de paiement (ristournes à ceux qui paient comptant), selon le revenu des familles, abattements divers et variés. Sachez que </w:t>
      </w:r>
      <w:r w:rsidR="002C5517">
        <w:rPr>
          <w:rFonts w:ascii="Calibri" w:hAnsi="Calibri"/>
        </w:rPr>
        <w:t xml:space="preserve">c’est toujours le </w:t>
      </w:r>
      <w:r w:rsidR="00B467D2">
        <w:rPr>
          <w:rFonts w:ascii="Calibri" w:hAnsi="Calibri"/>
        </w:rPr>
        <w:t xml:space="preserve">tarif le </w:t>
      </w:r>
      <w:r w:rsidR="002C5517">
        <w:rPr>
          <w:rFonts w:ascii="Calibri" w:hAnsi="Calibri"/>
        </w:rPr>
        <w:t>moins avantageux pour les familles qui est retenu, sensibilisez les établissements sur ce point.</w:t>
      </w:r>
    </w:p>
    <w:p w:rsidR="002C5517" w:rsidRDefault="002C5517" w:rsidP="002C5517">
      <w:pPr>
        <w:numPr>
          <w:ilvl w:val="0"/>
          <w:numId w:val="8"/>
        </w:numPr>
        <w:spacing w:before="60"/>
        <w:jc w:val="both"/>
        <w:rPr>
          <w:rFonts w:ascii="Calibri" w:hAnsi="Calibri"/>
        </w:rPr>
      </w:pPr>
      <w:r w:rsidRPr="00A846D7">
        <w:rPr>
          <w:rFonts w:ascii="Calibri" w:hAnsi="Calibri"/>
          <w:b/>
        </w:rPr>
        <w:t xml:space="preserve">Les </w:t>
      </w:r>
      <w:r w:rsidR="00B467D2" w:rsidRPr="00A846D7">
        <w:rPr>
          <w:rFonts w:ascii="Calibri" w:hAnsi="Calibri"/>
          <w:b/>
        </w:rPr>
        <w:t>CLB doivent respecter au plus près les instructions </w:t>
      </w:r>
      <w:r w:rsidR="00B467D2">
        <w:rPr>
          <w:rFonts w:ascii="Calibri" w:hAnsi="Calibri"/>
        </w:rPr>
        <w:t>; toutes les libertés prises par rapport au texte sont revues et corrigées à Paris</w:t>
      </w:r>
      <w:r>
        <w:rPr>
          <w:rFonts w:ascii="Calibri" w:hAnsi="Calibri"/>
        </w:rPr>
        <w:t>.</w:t>
      </w:r>
      <w:r w:rsidR="00B467D2">
        <w:rPr>
          <w:rFonts w:ascii="Calibri" w:hAnsi="Calibri"/>
        </w:rPr>
        <w:t xml:space="preserve"> Elles n’aboutissent à rien et alourdissent le travail. En revanche, les pondérations argumentées sont tout à fait possible</w:t>
      </w:r>
      <w:r w:rsidR="00A04194">
        <w:rPr>
          <w:rFonts w:ascii="Calibri" w:hAnsi="Calibri"/>
        </w:rPr>
        <w:t>s</w:t>
      </w:r>
      <w:r w:rsidR="00B467D2">
        <w:rPr>
          <w:rFonts w:ascii="Calibri" w:hAnsi="Calibri"/>
        </w:rPr>
        <w:t xml:space="preserve"> voire souhaitées dès lors qu’elles sont une étude de cas particuliers.</w:t>
      </w:r>
    </w:p>
    <w:p w:rsidR="00A846D7" w:rsidRPr="00A846D7" w:rsidRDefault="002C5517" w:rsidP="002C5517">
      <w:pPr>
        <w:numPr>
          <w:ilvl w:val="0"/>
          <w:numId w:val="8"/>
        </w:numPr>
        <w:spacing w:before="60"/>
        <w:jc w:val="both"/>
        <w:rPr>
          <w:rFonts w:ascii="Calibri" w:hAnsi="Calibri"/>
        </w:rPr>
      </w:pPr>
      <w:r w:rsidRPr="00A846D7">
        <w:rPr>
          <w:rFonts w:ascii="Calibri" w:hAnsi="Calibri"/>
          <w:b/>
        </w:rPr>
        <w:t>Les dossiers des fonctionnaires </w:t>
      </w:r>
      <w:r w:rsidRPr="00A846D7">
        <w:rPr>
          <w:rFonts w:ascii="Calibri" w:hAnsi="Calibri"/>
        </w:rPr>
        <w:t>font l’objet d’une étude au cas par cas, la quotité accordée l’an dernier sert de base à la décision, elle est reconduite s’il n’y a pas de changement significatif.</w:t>
      </w:r>
      <w:r w:rsidR="00A846D7" w:rsidRPr="00A846D7">
        <w:rPr>
          <w:rFonts w:ascii="Calibri" w:hAnsi="Calibri"/>
        </w:rPr>
        <w:t xml:space="preserve"> La directrice reconnaît que l’insatisfaction perdure chez les personnels résidents et que cela mérite r</w:t>
      </w:r>
      <w:r w:rsidR="00A846D7">
        <w:rPr>
          <w:rFonts w:ascii="Calibri" w:hAnsi="Calibri"/>
        </w:rPr>
        <w:t>é</w:t>
      </w:r>
      <w:r w:rsidR="00A846D7" w:rsidRPr="00A846D7">
        <w:rPr>
          <w:rFonts w:ascii="Calibri" w:hAnsi="Calibri"/>
        </w:rPr>
        <w:t>flexion.</w:t>
      </w:r>
      <w:r w:rsidR="004A56BB">
        <w:rPr>
          <w:rFonts w:ascii="Calibri" w:hAnsi="Calibri"/>
        </w:rPr>
        <w:t xml:space="preserve"> Sur 49 résidents demandeurs </w:t>
      </w:r>
      <w:r w:rsidR="006C6929">
        <w:rPr>
          <w:rFonts w:ascii="Calibri" w:hAnsi="Calibri"/>
        </w:rPr>
        <w:t>de bourse, 33 en ont obtenu une généralement partielle.</w:t>
      </w:r>
    </w:p>
    <w:p w:rsidR="00A846D7" w:rsidRDefault="00A846D7" w:rsidP="002C5517">
      <w:pPr>
        <w:numPr>
          <w:ilvl w:val="0"/>
          <w:numId w:val="8"/>
        </w:numPr>
        <w:spacing w:before="60"/>
        <w:jc w:val="both"/>
        <w:rPr>
          <w:rFonts w:ascii="Calibri" w:hAnsi="Calibri"/>
        </w:rPr>
      </w:pPr>
      <w:r>
        <w:rPr>
          <w:rFonts w:ascii="Calibri" w:hAnsi="Calibri"/>
          <w:b/>
        </w:rPr>
        <w:t>Point de charge pour études supérieures </w:t>
      </w:r>
      <w:r w:rsidRPr="00A846D7">
        <w:rPr>
          <w:rFonts w:ascii="Calibri" w:hAnsi="Calibri"/>
        </w:rPr>
        <w:t xml:space="preserve">: </w:t>
      </w:r>
      <w:r w:rsidR="006C6929">
        <w:rPr>
          <w:rFonts w:ascii="Calibri" w:hAnsi="Calibri"/>
        </w:rPr>
        <w:t>Il n</w:t>
      </w:r>
      <w:r>
        <w:rPr>
          <w:rFonts w:ascii="Calibri" w:hAnsi="Calibri"/>
        </w:rPr>
        <w:t xml:space="preserve">e peut être pris en compte qu’après réception du certificat de scolarité (donc à la deuxième commission avec effet rétroactif) </w:t>
      </w:r>
      <w:r w:rsidRPr="00A846D7">
        <w:rPr>
          <w:rFonts w:ascii="Calibri" w:hAnsi="Calibri"/>
        </w:rPr>
        <w:t xml:space="preserve">Il </w:t>
      </w:r>
      <w:r>
        <w:rPr>
          <w:rFonts w:ascii="Calibri" w:hAnsi="Calibri"/>
        </w:rPr>
        <w:t xml:space="preserve">est réservé aux études réalisées en France, nous avons demandé d’étudier la possibilité de l’appliquer aux études poursuivies dans le pays de résidence. </w:t>
      </w:r>
    </w:p>
    <w:p w:rsidR="002C5517" w:rsidRDefault="004A56BB" w:rsidP="002C5517">
      <w:pPr>
        <w:numPr>
          <w:ilvl w:val="0"/>
          <w:numId w:val="8"/>
        </w:numPr>
        <w:spacing w:before="60"/>
        <w:jc w:val="both"/>
        <w:rPr>
          <w:rFonts w:ascii="Calibri" w:hAnsi="Calibri"/>
        </w:rPr>
      </w:pPr>
      <w:r w:rsidRPr="004A56BB">
        <w:rPr>
          <w:rFonts w:ascii="Calibri" w:hAnsi="Calibri"/>
        </w:rPr>
        <w:t>Demeurent les problèmes de</w:t>
      </w:r>
      <w:r>
        <w:rPr>
          <w:rFonts w:ascii="Calibri" w:hAnsi="Calibri"/>
          <w:b/>
        </w:rPr>
        <w:t xml:space="preserve"> l’articulation entre les logiciels Scola et Racine. </w:t>
      </w:r>
      <w:r w:rsidRPr="004A56BB">
        <w:rPr>
          <w:rFonts w:ascii="Calibri" w:hAnsi="Calibri"/>
        </w:rPr>
        <w:t>Le demandeur de bourses doit être in</w:t>
      </w:r>
      <w:r w:rsidR="006C6929">
        <w:rPr>
          <w:rFonts w:ascii="Calibri" w:hAnsi="Calibri"/>
        </w:rPr>
        <w:t>scrit au registre consulaire, en</w:t>
      </w:r>
      <w:r w:rsidRPr="004A56BB">
        <w:rPr>
          <w:rFonts w:ascii="Calibri" w:hAnsi="Calibri"/>
        </w:rPr>
        <w:t xml:space="preserve"> cas contraire son dossier ne peut être saisi</w:t>
      </w:r>
      <w:r w:rsidR="002C5517">
        <w:rPr>
          <w:rFonts w:ascii="Calibri" w:hAnsi="Calibri"/>
        </w:rPr>
        <w:t>.</w:t>
      </w:r>
    </w:p>
    <w:p w:rsidR="002C5517" w:rsidRDefault="004A56BB" w:rsidP="002C5517">
      <w:pPr>
        <w:numPr>
          <w:ilvl w:val="0"/>
          <w:numId w:val="8"/>
        </w:numPr>
        <w:spacing w:before="60"/>
        <w:jc w:val="both"/>
        <w:rPr>
          <w:rFonts w:ascii="Calibri" w:hAnsi="Calibri"/>
        </w:rPr>
      </w:pPr>
      <w:r>
        <w:rPr>
          <w:rFonts w:ascii="Calibri" w:hAnsi="Calibri"/>
        </w:rPr>
        <w:t xml:space="preserve">Les </w:t>
      </w:r>
      <w:r w:rsidRPr="00A04194">
        <w:rPr>
          <w:rFonts w:ascii="Calibri" w:hAnsi="Calibri"/>
          <w:b/>
        </w:rPr>
        <w:t>bourses d’entretien</w:t>
      </w:r>
      <w:r>
        <w:rPr>
          <w:rFonts w:ascii="Calibri" w:hAnsi="Calibri"/>
        </w:rPr>
        <w:t xml:space="preserve"> ont été évoquées, leur montant est fixé par les établissements et rappel a été fait que leur versement doit intervenir au plus tard dans les deux mois qui suivent la rentrée</w:t>
      </w:r>
      <w:r w:rsidR="002C5517" w:rsidRPr="00E65E05">
        <w:rPr>
          <w:rFonts w:ascii="Calibri" w:hAnsi="Calibri"/>
        </w:rPr>
        <w:t xml:space="preserve">. </w:t>
      </w:r>
    </w:p>
    <w:p w:rsidR="004A56BB" w:rsidRDefault="004A56BB" w:rsidP="002C5517">
      <w:pPr>
        <w:numPr>
          <w:ilvl w:val="0"/>
          <w:numId w:val="8"/>
        </w:numPr>
        <w:spacing w:before="60"/>
        <w:jc w:val="both"/>
        <w:rPr>
          <w:rFonts w:ascii="Calibri" w:hAnsi="Calibri"/>
        </w:rPr>
      </w:pPr>
      <w:r>
        <w:rPr>
          <w:rFonts w:ascii="Calibri" w:hAnsi="Calibri"/>
        </w:rPr>
        <w:t xml:space="preserve">Les </w:t>
      </w:r>
      <w:r w:rsidRPr="00A04194">
        <w:rPr>
          <w:rFonts w:ascii="Calibri" w:hAnsi="Calibri"/>
          <w:b/>
        </w:rPr>
        <w:t>indemnités de licenciement</w:t>
      </w:r>
      <w:r>
        <w:rPr>
          <w:rFonts w:ascii="Calibri" w:hAnsi="Calibri"/>
        </w:rPr>
        <w:t xml:space="preserve"> doivent faire l’objet d’une appréciation personnalisée et peuvent être lissées sur plusieurs années</w:t>
      </w:r>
      <w:r w:rsidR="00B3527B">
        <w:rPr>
          <w:rFonts w:ascii="Calibri" w:hAnsi="Calibri"/>
        </w:rPr>
        <w:t>.</w:t>
      </w:r>
    </w:p>
    <w:p w:rsidR="00B3527B" w:rsidRDefault="00B3527B" w:rsidP="002C5517">
      <w:pPr>
        <w:numPr>
          <w:ilvl w:val="0"/>
          <w:numId w:val="8"/>
        </w:numPr>
        <w:spacing w:before="60"/>
        <w:jc w:val="both"/>
        <w:rPr>
          <w:rFonts w:ascii="Calibri" w:hAnsi="Calibri"/>
        </w:rPr>
      </w:pPr>
      <w:r>
        <w:rPr>
          <w:rFonts w:ascii="Calibri" w:hAnsi="Calibri"/>
        </w:rPr>
        <w:t xml:space="preserve">Des </w:t>
      </w:r>
      <w:r w:rsidRPr="00A04194">
        <w:rPr>
          <w:rFonts w:ascii="Calibri" w:hAnsi="Calibri"/>
          <w:b/>
        </w:rPr>
        <w:t>dispositifs dérogatoires</w:t>
      </w:r>
      <w:r>
        <w:rPr>
          <w:rFonts w:ascii="Calibri" w:hAnsi="Calibri"/>
        </w:rPr>
        <w:t xml:space="preserve"> peuvent être mis en place pour l’aide aux devoirs et l’aide à la scolarisation des enfants handicapés. Des dossiers étayés doivent être présentés. </w:t>
      </w:r>
    </w:p>
    <w:p w:rsidR="002C5517" w:rsidRPr="00E65E05" w:rsidRDefault="002C5517" w:rsidP="002C5517">
      <w:pPr>
        <w:spacing w:before="60"/>
        <w:ind w:left="709"/>
        <w:jc w:val="both"/>
        <w:rPr>
          <w:rFonts w:ascii="Calibri" w:hAnsi="Calibri"/>
          <w:b/>
          <w:sz w:val="12"/>
        </w:rPr>
      </w:pPr>
    </w:p>
    <w:p w:rsidR="002C5517" w:rsidRPr="00C75EFC" w:rsidRDefault="00420B1D" w:rsidP="002C5517">
      <w:pPr>
        <w:ind w:left="709"/>
        <w:jc w:val="both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br w:type="page"/>
      </w:r>
      <w:r w:rsidR="002C5517" w:rsidRPr="00C75EFC">
        <w:rPr>
          <w:rFonts w:ascii="Calibri" w:hAnsi="Calibri"/>
          <w:b/>
          <w:sz w:val="28"/>
        </w:rPr>
        <w:t>I - Intervention de la Directrice de l’AEFE devant la commission nationale</w:t>
      </w:r>
    </w:p>
    <w:p w:rsidR="002C5517" w:rsidRDefault="002C5517">
      <w:pPr>
        <w:jc w:val="both"/>
        <w:rPr>
          <w:rFonts w:ascii="Calibri" w:hAnsi="Calibri"/>
          <w:sz w:val="16"/>
          <w:szCs w:val="16"/>
        </w:rPr>
      </w:pPr>
    </w:p>
    <w:p w:rsidR="002C5517" w:rsidRPr="00C75EFC" w:rsidRDefault="002C5517">
      <w:pPr>
        <w:jc w:val="both"/>
        <w:rPr>
          <w:rFonts w:ascii="Calibri" w:hAnsi="Calibri"/>
          <w:sz w:val="16"/>
          <w:szCs w:val="16"/>
        </w:rPr>
      </w:pPr>
    </w:p>
    <w:p w:rsidR="002C5517" w:rsidRPr="00683D96" w:rsidRDefault="002C5517" w:rsidP="00420B1D">
      <w:pPr>
        <w:pStyle w:val="Corpsdetexte"/>
        <w:pBdr>
          <w:top w:val="single" w:sz="4" w:space="0" w:color="1F497D"/>
          <w:left w:val="single" w:sz="4" w:space="4" w:color="1F497D"/>
          <w:bottom w:val="single" w:sz="4" w:space="1" w:color="1F497D"/>
          <w:right w:val="single" w:sz="4" w:space="4" w:color="1F497D"/>
        </w:pBdr>
        <w:jc w:val="center"/>
        <w:rPr>
          <w:rFonts w:ascii="Calibri" w:hAnsi="Calibri"/>
          <w:b/>
          <w:sz w:val="28"/>
        </w:rPr>
      </w:pPr>
      <w:r w:rsidRPr="00A04194">
        <w:rPr>
          <w:rFonts w:ascii="Calibri" w:hAnsi="Calibri"/>
          <w:b/>
          <w:sz w:val="28"/>
        </w:rPr>
        <w:t>Bilan définitif</w:t>
      </w:r>
      <w:r>
        <w:rPr>
          <w:rFonts w:ascii="Calibri" w:hAnsi="Calibri"/>
          <w:b/>
          <w:sz w:val="28"/>
        </w:rPr>
        <w:t xml:space="preserve"> b</w:t>
      </w:r>
      <w:r w:rsidRPr="00683D96">
        <w:rPr>
          <w:rFonts w:ascii="Calibri" w:hAnsi="Calibri"/>
          <w:b/>
          <w:sz w:val="28"/>
        </w:rPr>
        <w:t xml:space="preserve">ourses scolaires (rythmes </w:t>
      </w:r>
      <w:r w:rsidR="00420B1D" w:rsidRPr="00683D96">
        <w:rPr>
          <w:rFonts w:ascii="Calibri" w:hAnsi="Calibri"/>
          <w:b/>
          <w:sz w:val="28"/>
        </w:rPr>
        <w:t xml:space="preserve">sud </w:t>
      </w:r>
      <w:r w:rsidRPr="00683D96">
        <w:rPr>
          <w:rFonts w:ascii="Calibri" w:hAnsi="Calibri"/>
          <w:b/>
          <w:sz w:val="28"/>
        </w:rPr>
        <w:t>et</w:t>
      </w:r>
      <w:r w:rsidR="00420B1D" w:rsidRPr="00420B1D">
        <w:rPr>
          <w:rFonts w:ascii="Calibri" w:hAnsi="Calibri"/>
          <w:b/>
          <w:sz w:val="28"/>
        </w:rPr>
        <w:t xml:space="preserve"> </w:t>
      </w:r>
      <w:r w:rsidR="00420B1D" w:rsidRPr="00683D96">
        <w:rPr>
          <w:rFonts w:ascii="Calibri" w:hAnsi="Calibri"/>
          <w:b/>
          <w:sz w:val="28"/>
        </w:rPr>
        <w:t>nord</w:t>
      </w:r>
      <w:r w:rsidRPr="00683D96">
        <w:rPr>
          <w:rFonts w:ascii="Calibri" w:hAnsi="Calibri"/>
          <w:b/>
          <w:sz w:val="28"/>
        </w:rPr>
        <w:t>) 20</w:t>
      </w:r>
      <w:r>
        <w:rPr>
          <w:rFonts w:ascii="Calibri" w:hAnsi="Calibri"/>
          <w:b/>
          <w:sz w:val="28"/>
        </w:rPr>
        <w:t>1</w:t>
      </w:r>
      <w:r w:rsidR="00EB3945">
        <w:rPr>
          <w:rFonts w:ascii="Calibri" w:hAnsi="Calibri"/>
          <w:b/>
          <w:sz w:val="28"/>
        </w:rPr>
        <w:t>1</w:t>
      </w:r>
      <w:r w:rsidR="00420B1D">
        <w:rPr>
          <w:rFonts w:ascii="Calibri" w:hAnsi="Calibri"/>
          <w:b/>
          <w:sz w:val="28"/>
        </w:rPr>
        <w:t xml:space="preserve"> et </w:t>
      </w:r>
      <w:r w:rsidRPr="00683D96">
        <w:rPr>
          <w:rFonts w:ascii="Calibri" w:hAnsi="Calibri"/>
          <w:b/>
          <w:sz w:val="28"/>
        </w:rPr>
        <w:t>201</w:t>
      </w:r>
      <w:r w:rsidR="00420B1D">
        <w:rPr>
          <w:rFonts w:ascii="Calibri" w:hAnsi="Calibri"/>
          <w:b/>
          <w:sz w:val="28"/>
        </w:rPr>
        <w:t>1/</w:t>
      </w:r>
      <w:r w:rsidRPr="00683D96">
        <w:rPr>
          <w:rFonts w:ascii="Calibri" w:hAnsi="Calibri"/>
          <w:b/>
          <w:sz w:val="28"/>
        </w:rPr>
        <w:t>201</w:t>
      </w:r>
      <w:r w:rsidR="00420B1D">
        <w:rPr>
          <w:rFonts w:ascii="Calibri" w:hAnsi="Calibri"/>
          <w:b/>
          <w:sz w:val="28"/>
        </w:rPr>
        <w:t>2</w:t>
      </w:r>
      <w:r w:rsidRPr="00683D96">
        <w:rPr>
          <w:rFonts w:ascii="Calibri" w:hAnsi="Calibri"/>
          <w:b/>
          <w:sz w:val="28"/>
        </w:rPr>
        <w:t xml:space="preserve"> </w:t>
      </w:r>
    </w:p>
    <w:p w:rsidR="002C5517" w:rsidRPr="00051CF4" w:rsidRDefault="002C5517" w:rsidP="00420B1D">
      <w:pPr>
        <w:pStyle w:val="Corpsdetexte"/>
        <w:pBdr>
          <w:top w:val="single" w:sz="4" w:space="0" w:color="1F497D"/>
          <w:left w:val="single" w:sz="4" w:space="4" w:color="1F497D"/>
          <w:bottom w:val="single" w:sz="4" w:space="1" w:color="1F497D"/>
          <w:right w:val="single" w:sz="4" w:space="4" w:color="1F497D"/>
        </w:pBdr>
        <w:rPr>
          <w:rFonts w:ascii="Calibri" w:hAnsi="Calibri"/>
          <w:i/>
          <w:sz w:val="20"/>
        </w:rPr>
      </w:pPr>
    </w:p>
    <w:p w:rsidR="00A04194" w:rsidRDefault="002C5517" w:rsidP="00A04194">
      <w:pPr>
        <w:pStyle w:val="Corpsdetexte"/>
        <w:pBdr>
          <w:top w:val="single" w:sz="4" w:space="0" w:color="1F497D"/>
          <w:left w:val="single" w:sz="4" w:space="4" w:color="1F497D"/>
          <w:bottom w:val="single" w:sz="4" w:space="1" w:color="1F497D"/>
          <w:right w:val="single" w:sz="4" w:space="4" w:color="1F497D"/>
        </w:pBdr>
        <w:jc w:val="center"/>
        <w:rPr>
          <w:rFonts w:ascii="Calibri" w:hAnsi="Calibri"/>
          <w:i/>
          <w:iCs/>
          <w:sz w:val="22"/>
        </w:rPr>
      </w:pPr>
      <w:r w:rsidRPr="00A04194">
        <w:rPr>
          <w:rFonts w:ascii="Calibri" w:hAnsi="Calibri"/>
          <w:i/>
          <w:sz w:val="22"/>
        </w:rPr>
        <w:t>Nombre de boursiers</w:t>
      </w:r>
      <w:r w:rsidR="00420B1D" w:rsidRPr="00A04194">
        <w:rPr>
          <w:rFonts w:ascii="Calibri" w:hAnsi="Calibri"/>
          <w:i/>
          <w:sz w:val="22"/>
        </w:rPr>
        <w:t xml:space="preserve"> 24 732 </w:t>
      </w:r>
      <w:proofErr w:type="gramStart"/>
      <w:r w:rsidR="00420B1D" w:rsidRPr="00A04194">
        <w:rPr>
          <w:rFonts w:ascii="Calibri" w:hAnsi="Calibri"/>
          <w:i/>
          <w:sz w:val="22"/>
        </w:rPr>
        <w:t>(</w:t>
      </w:r>
      <w:r w:rsidRPr="00A04194">
        <w:rPr>
          <w:rFonts w:ascii="Calibri" w:hAnsi="Calibri"/>
          <w:i/>
          <w:sz w:val="22"/>
        </w:rPr>
        <w:t xml:space="preserve"> </w:t>
      </w:r>
      <w:r w:rsidR="00420B1D" w:rsidRPr="00A04194">
        <w:rPr>
          <w:rFonts w:ascii="Calibri" w:hAnsi="Calibri"/>
          <w:i/>
          <w:sz w:val="22"/>
        </w:rPr>
        <w:t>N</w:t>
      </w:r>
      <w:proofErr w:type="gramEnd"/>
      <w:r w:rsidR="00420B1D" w:rsidRPr="00A04194">
        <w:rPr>
          <w:rFonts w:ascii="Calibri" w:hAnsi="Calibri"/>
          <w:i/>
          <w:sz w:val="22"/>
        </w:rPr>
        <w:t xml:space="preserve">-1 : </w:t>
      </w:r>
      <w:r w:rsidRPr="00A04194">
        <w:rPr>
          <w:rFonts w:ascii="Calibri" w:hAnsi="Calibri"/>
          <w:i/>
          <w:iCs/>
          <w:sz w:val="22"/>
        </w:rPr>
        <w:t>2</w:t>
      </w:r>
      <w:r w:rsidR="00420B1D" w:rsidRPr="00A04194">
        <w:rPr>
          <w:rFonts w:ascii="Calibri" w:hAnsi="Calibri"/>
          <w:i/>
          <w:iCs/>
          <w:sz w:val="22"/>
        </w:rPr>
        <w:t>3</w:t>
      </w:r>
      <w:r w:rsidRPr="00A04194">
        <w:rPr>
          <w:rFonts w:ascii="Calibri" w:hAnsi="Calibri"/>
          <w:i/>
          <w:iCs/>
          <w:sz w:val="22"/>
        </w:rPr>
        <w:t> 517</w:t>
      </w:r>
      <w:r w:rsidR="00420B1D" w:rsidRPr="00A04194">
        <w:rPr>
          <w:rFonts w:ascii="Calibri" w:hAnsi="Calibri"/>
          <w:i/>
          <w:iCs/>
          <w:sz w:val="22"/>
        </w:rPr>
        <w:t>)</w:t>
      </w:r>
      <w:r w:rsidRPr="00A04194">
        <w:rPr>
          <w:rFonts w:ascii="Calibri" w:hAnsi="Calibri"/>
          <w:i/>
          <w:iCs/>
          <w:sz w:val="22"/>
        </w:rPr>
        <w:t xml:space="preserve"> </w:t>
      </w:r>
      <w:r w:rsidRPr="00A04194">
        <w:rPr>
          <w:rFonts w:ascii="Calibri" w:hAnsi="Calibri"/>
          <w:i/>
          <w:sz w:val="22"/>
        </w:rPr>
        <w:tab/>
        <w:t xml:space="preserve">Montant des attributions </w:t>
      </w:r>
      <w:r w:rsidR="00420B1D" w:rsidRPr="00A04194">
        <w:rPr>
          <w:rFonts w:ascii="Calibri" w:hAnsi="Calibri"/>
          <w:i/>
          <w:sz w:val="22"/>
        </w:rPr>
        <w:t xml:space="preserve">88,56 M€ (N-1 : </w:t>
      </w:r>
      <w:r w:rsidRPr="00A04194">
        <w:rPr>
          <w:rFonts w:ascii="Calibri" w:hAnsi="Calibri"/>
          <w:i/>
          <w:iCs/>
          <w:sz w:val="22"/>
        </w:rPr>
        <w:t>77,62 M€</w:t>
      </w:r>
      <w:r w:rsidR="00420B1D" w:rsidRPr="00A04194">
        <w:rPr>
          <w:rFonts w:ascii="Calibri" w:hAnsi="Calibri"/>
          <w:i/>
          <w:iCs/>
          <w:sz w:val="22"/>
        </w:rPr>
        <w:t>)</w:t>
      </w:r>
    </w:p>
    <w:p w:rsidR="002C5517" w:rsidRPr="00A04194" w:rsidRDefault="00420B1D" w:rsidP="00A04194">
      <w:pPr>
        <w:pStyle w:val="Corpsdetexte"/>
        <w:pBdr>
          <w:top w:val="single" w:sz="4" w:space="0" w:color="1F497D"/>
          <w:left w:val="single" w:sz="4" w:space="4" w:color="1F497D"/>
          <w:bottom w:val="single" w:sz="4" w:space="1" w:color="1F497D"/>
          <w:right w:val="single" w:sz="4" w:space="4" w:color="1F497D"/>
        </w:pBdr>
        <w:jc w:val="center"/>
        <w:rPr>
          <w:rFonts w:ascii="Calibri" w:hAnsi="Calibri"/>
          <w:i/>
          <w:sz w:val="22"/>
        </w:rPr>
      </w:pPr>
      <w:r w:rsidRPr="00A04194">
        <w:rPr>
          <w:rFonts w:ascii="Calibri" w:hAnsi="Calibri"/>
          <w:i/>
          <w:sz w:val="22"/>
        </w:rPr>
        <w:t>C</w:t>
      </w:r>
      <w:r w:rsidR="002C5517" w:rsidRPr="00A04194">
        <w:rPr>
          <w:rFonts w:ascii="Calibri" w:hAnsi="Calibri"/>
          <w:i/>
          <w:sz w:val="22"/>
        </w:rPr>
        <w:t xml:space="preserve">oût moyen  boursier </w:t>
      </w:r>
      <w:r w:rsidRPr="00A04194">
        <w:rPr>
          <w:rFonts w:ascii="Calibri" w:hAnsi="Calibri"/>
          <w:i/>
          <w:sz w:val="22"/>
        </w:rPr>
        <w:t xml:space="preserve">3 581€ (N-1 : </w:t>
      </w:r>
      <w:r w:rsidR="002C5517" w:rsidRPr="00A04194">
        <w:rPr>
          <w:rFonts w:ascii="Calibri" w:hAnsi="Calibri"/>
          <w:i/>
          <w:iCs/>
          <w:sz w:val="22"/>
        </w:rPr>
        <w:t xml:space="preserve">3 301 </w:t>
      </w:r>
      <w:proofErr w:type="gramStart"/>
      <w:r w:rsidR="002C5517" w:rsidRPr="00A04194">
        <w:rPr>
          <w:rFonts w:ascii="Calibri" w:hAnsi="Calibri"/>
          <w:i/>
          <w:iCs/>
          <w:sz w:val="22"/>
        </w:rPr>
        <w:t>€</w:t>
      </w:r>
      <w:r w:rsidR="002C5517" w:rsidRPr="00A04194">
        <w:rPr>
          <w:rFonts w:ascii="Calibri" w:hAnsi="Calibri"/>
          <w:i/>
          <w:sz w:val="22"/>
        </w:rPr>
        <w:t xml:space="preserve"> </w:t>
      </w:r>
      <w:r w:rsidRPr="00A04194">
        <w:rPr>
          <w:rFonts w:ascii="Calibri" w:hAnsi="Calibri"/>
          <w:i/>
          <w:sz w:val="22"/>
        </w:rPr>
        <w:t>)</w:t>
      </w:r>
      <w:proofErr w:type="gramEnd"/>
    </w:p>
    <w:p w:rsidR="002C5517" w:rsidRDefault="002C5517" w:rsidP="002C5517">
      <w:pPr>
        <w:pStyle w:val="Corpsdetexte3"/>
        <w:jc w:val="both"/>
        <w:rPr>
          <w:rFonts w:ascii="Calibri" w:hAnsi="Calibri"/>
          <w:b/>
          <w:sz w:val="20"/>
        </w:rPr>
      </w:pPr>
    </w:p>
    <w:p w:rsidR="002C5517" w:rsidRDefault="002C5517" w:rsidP="002C5517">
      <w:pPr>
        <w:pStyle w:val="Corpsdetexte3"/>
        <w:jc w:val="both"/>
        <w:rPr>
          <w:rFonts w:ascii="Calibri" w:hAnsi="Calibri"/>
          <w:b/>
          <w:sz w:val="20"/>
        </w:rPr>
      </w:pPr>
    </w:p>
    <w:p w:rsidR="002C5517" w:rsidRPr="00683D96" w:rsidRDefault="002C5517" w:rsidP="002C5517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8"/>
        </w:rPr>
      </w:pPr>
      <w:r w:rsidRPr="00683D96">
        <w:rPr>
          <w:rFonts w:ascii="Calibri" w:hAnsi="Calibri"/>
          <w:b/>
          <w:sz w:val="28"/>
        </w:rPr>
        <w:t xml:space="preserve">Bilan global PEC </w:t>
      </w:r>
      <w:r w:rsidR="00420B1D" w:rsidRPr="00683D96">
        <w:rPr>
          <w:rFonts w:ascii="Calibri" w:hAnsi="Calibri"/>
          <w:b/>
          <w:sz w:val="28"/>
        </w:rPr>
        <w:t>(rythmes sud et</w:t>
      </w:r>
      <w:r w:rsidR="00420B1D" w:rsidRPr="00420B1D">
        <w:rPr>
          <w:rFonts w:ascii="Calibri" w:hAnsi="Calibri"/>
          <w:b/>
          <w:sz w:val="28"/>
        </w:rPr>
        <w:t xml:space="preserve"> </w:t>
      </w:r>
      <w:r w:rsidR="00420B1D" w:rsidRPr="00683D96">
        <w:rPr>
          <w:rFonts w:ascii="Calibri" w:hAnsi="Calibri"/>
          <w:b/>
          <w:sz w:val="28"/>
        </w:rPr>
        <w:t>nord) 20</w:t>
      </w:r>
      <w:r w:rsidR="00420B1D">
        <w:rPr>
          <w:rFonts w:ascii="Calibri" w:hAnsi="Calibri"/>
          <w:b/>
          <w:sz w:val="28"/>
        </w:rPr>
        <w:t xml:space="preserve">11 et </w:t>
      </w:r>
      <w:r w:rsidR="00420B1D" w:rsidRPr="00683D96">
        <w:rPr>
          <w:rFonts w:ascii="Calibri" w:hAnsi="Calibri"/>
          <w:b/>
          <w:sz w:val="28"/>
        </w:rPr>
        <w:t>201</w:t>
      </w:r>
      <w:r w:rsidR="00420B1D">
        <w:rPr>
          <w:rFonts w:ascii="Calibri" w:hAnsi="Calibri"/>
          <w:b/>
          <w:sz w:val="28"/>
        </w:rPr>
        <w:t>1/</w:t>
      </w:r>
      <w:r w:rsidR="00420B1D" w:rsidRPr="00683D96">
        <w:rPr>
          <w:rFonts w:ascii="Calibri" w:hAnsi="Calibri"/>
          <w:b/>
          <w:sz w:val="28"/>
        </w:rPr>
        <w:t>201</w:t>
      </w:r>
      <w:r w:rsidR="00420B1D">
        <w:rPr>
          <w:rFonts w:ascii="Calibri" w:hAnsi="Calibri"/>
          <w:b/>
          <w:sz w:val="28"/>
        </w:rPr>
        <w:t>2</w:t>
      </w:r>
    </w:p>
    <w:p w:rsidR="002C5517" w:rsidRPr="00051CF4" w:rsidRDefault="002C5517" w:rsidP="002C5517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0"/>
        </w:rPr>
      </w:pPr>
    </w:p>
    <w:p w:rsidR="00A04194" w:rsidRDefault="002C5517" w:rsidP="002C5517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line="240" w:lineRule="atLeast"/>
        <w:jc w:val="center"/>
        <w:rPr>
          <w:rFonts w:ascii="Calibri" w:hAnsi="Calibri"/>
          <w:i/>
          <w:sz w:val="22"/>
          <w:szCs w:val="22"/>
        </w:rPr>
      </w:pPr>
      <w:r w:rsidRPr="00A04194">
        <w:rPr>
          <w:rFonts w:ascii="Calibri" w:hAnsi="Calibri"/>
          <w:i/>
          <w:sz w:val="22"/>
          <w:szCs w:val="22"/>
        </w:rPr>
        <w:t xml:space="preserve">Nombre de prises en charge: </w:t>
      </w:r>
      <w:r w:rsidR="00420B1D" w:rsidRPr="00A04194">
        <w:rPr>
          <w:rFonts w:ascii="Calibri" w:hAnsi="Calibri"/>
          <w:i/>
          <w:sz w:val="22"/>
          <w:szCs w:val="22"/>
        </w:rPr>
        <w:t>7 869</w:t>
      </w:r>
      <w:r w:rsidRPr="00A04194">
        <w:rPr>
          <w:rFonts w:ascii="Calibri" w:hAnsi="Calibri"/>
          <w:i/>
          <w:sz w:val="22"/>
          <w:szCs w:val="22"/>
        </w:rPr>
        <w:t xml:space="preserve">  </w:t>
      </w:r>
      <w:r w:rsidR="00420B1D" w:rsidRPr="00A04194">
        <w:rPr>
          <w:rFonts w:ascii="Calibri" w:hAnsi="Calibri"/>
          <w:i/>
          <w:sz w:val="22"/>
          <w:szCs w:val="22"/>
        </w:rPr>
        <w:t>(</w:t>
      </w:r>
      <w:r w:rsidR="00A04194">
        <w:rPr>
          <w:rFonts w:ascii="Calibri" w:hAnsi="Calibri"/>
          <w:i/>
          <w:sz w:val="22"/>
          <w:szCs w:val="22"/>
        </w:rPr>
        <w:t xml:space="preserve">N-1 : </w:t>
      </w:r>
      <w:r w:rsidRPr="00A04194">
        <w:rPr>
          <w:rFonts w:ascii="Calibri" w:hAnsi="Calibri"/>
          <w:i/>
          <w:sz w:val="22"/>
          <w:szCs w:val="22"/>
        </w:rPr>
        <w:t>7 322</w:t>
      </w:r>
      <w:r w:rsidR="00420B1D" w:rsidRPr="00A04194">
        <w:rPr>
          <w:rFonts w:ascii="Calibri" w:hAnsi="Calibri"/>
          <w:i/>
          <w:sz w:val="22"/>
          <w:szCs w:val="22"/>
        </w:rPr>
        <w:t>)</w:t>
      </w:r>
      <w:r w:rsidRPr="00A04194">
        <w:rPr>
          <w:rFonts w:ascii="Calibri" w:hAnsi="Calibri"/>
          <w:i/>
          <w:sz w:val="22"/>
          <w:szCs w:val="22"/>
        </w:rPr>
        <w:t xml:space="preserve">  </w:t>
      </w:r>
      <w:r w:rsidRPr="00A04194">
        <w:rPr>
          <w:rFonts w:ascii="Calibri" w:hAnsi="Calibri"/>
          <w:i/>
          <w:sz w:val="22"/>
          <w:szCs w:val="22"/>
        </w:rPr>
        <w:tab/>
        <w:t xml:space="preserve">Montant : </w:t>
      </w:r>
      <w:r w:rsidR="00420B1D" w:rsidRPr="00A04194">
        <w:rPr>
          <w:rFonts w:ascii="Calibri" w:hAnsi="Calibri"/>
          <w:i/>
          <w:sz w:val="22"/>
          <w:szCs w:val="22"/>
        </w:rPr>
        <w:t>30,94M€</w:t>
      </w:r>
      <w:r w:rsidR="00A04194">
        <w:rPr>
          <w:rFonts w:ascii="Calibri" w:hAnsi="Calibri"/>
          <w:i/>
          <w:sz w:val="22"/>
          <w:szCs w:val="22"/>
        </w:rPr>
        <w:t xml:space="preserve"> (N-1 :</w:t>
      </w:r>
      <w:r w:rsidR="00420B1D" w:rsidRPr="00A04194">
        <w:rPr>
          <w:rFonts w:ascii="Calibri" w:hAnsi="Calibri"/>
          <w:i/>
          <w:sz w:val="22"/>
          <w:szCs w:val="22"/>
        </w:rPr>
        <w:t xml:space="preserve"> </w:t>
      </w:r>
      <w:r w:rsidRPr="00A04194">
        <w:rPr>
          <w:rFonts w:ascii="Calibri" w:hAnsi="Calibri"/>
          <w:i/>
          <w:sz w:val="22"/>
          <w:szCs w:val="22"/>
        </w:rPr>
        <w:t>34,26M€</w:t>
      </w:r>
      <w:r w:rsidR="00A04194">
        <w:rPr>
          <w:rFonts w:ascii="Calibri" w:hAnsi="Calibri"/>
          <w:i/>
          <w:sz w:val="22"/>
          <w:szCs w:val="22"/>
        </w:rPr>
        <w:t>)</w:t>
      </w:r>
      <w:r w:rsidR="00A04194">
        <w:rPr>
          <w:rFonts w:ascii="Calibri" w:hAnsi="Calibri"/>
          <w:i/>
          <w:sz w:val="22"/>
          <w:szCs w:val="22"/>
        </w:rPr>
        <w:tab/>
      </w:r>
    </w:p>
    <w:p w:rsidR="002C5517" w:rsidRPr="00A04194" w:rsidRDefault="002C5517" w:rsidP="002C5517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line="240" w:lineRule="atLeast"/>
        <w:jc w:val="center"/>
        <w:rPr>
          <w:rFonts w:ascii="Calibri" w:hAnsi="Calibri"/>
          <w:i/>
          <w:sz w:val="22"/>
          <w:szCs w:val="22"/>
        </w:rPr>
      </w:pPr>
      <w:r w:rsidRPr="00A04194">
        <w:rPr>
          <w:rFonts w:ascii="Calibri" w:hAnsi="Calibri"/>
          <w:i/>
          <w:sz w:val="22"/>
          <w:szCs w:val="22"/>
        </w:rPr>
        <w:t xml:space="preserve"> Coût moyen de </w:t>
      </w:r>
      <w:r w:rsidR="00420B1D" w:rsidRPr="00A04194">
        <w:rPr>
          <w:rFonts w:ascii="Calibri" w:hAnsi="Calibri"/>
          <w:i/>
          <w:sz w:val="22"/>
          <w:szCs w:val="22"/>
        </w:rPr>
        <w:t>3 932€ (</w:t>
      </w:r>
      <w:r w:rsidR="00A04194">
        <w:rPr>
          <w:rFonts w:ascii="Calibri" w:hAnsi="Calibri"/>
          <w:i/>
          <w:sz w:val="22"/>
          <w:szCs w:val="22"/>
        </w:rPr>
        <w:t xml:space="preserve">N-1 : </w:t>
      </w:r>
      <w:r w:rsidRPr="00A04194">
        <w:rPr>
          <w:rFonts w:ascii="Calibri" w:hAnsi="Calibri"/>
          <w:i/>
          <w:sz w:val="22"/>
          <w:szCs w:val="22"/>
        </w:rPr>
        <w:t>4 619€</w:t>
      </w:r>
      <w:r w:rsidR="00420B1D" w:rsidRPr="00A04194">
        <w:rPr>
          <w:rFonts w:ascii="Calibri" w:hAnsi="Calibri"/>
          <w:i/>
          <w:sz w:val="22"/>
          <w:szCs w:val="22"/>
        </w:rPr>
        <w:t>)</w:t>
      </w:r>
      <w:r w:rsidRPr="00A04194">
        <w:rPr>
          <w:rFonts w:ascii="Calibri" w:hAnsi="Calibri"/>
          <w:i/>
          <w:sz w:val="22"/>
          <w:szCs w:val="22"/>
        </w:rPr>
        <w:t xml:space="preserve"> </w:t>
      </w:r>
      <w:r w:rsidR="00A04194" w:rsidRPr="00A04194">
        <w:rPr>
          <w:rFonts w:ascii="Calibri" w:hAnsi="Calibri"/>
          <w:i/>
          <w:sz w:val="22"/>
          <w:szCs w:val="22"/>
        </w:rPr>
        <w:t>La baisse provient du plafonnement des frais de scolarité retenus.</w:t>
      </w:r>
    </w:p>
    <w:p w:rsidR="002C5517" w:rsidRDefault="002C5517" w:rsidP="002C5517">
      <w:pPr>
        <w:pStyle w:val="Corpsdetexte"/>
        <w:tabs>
          <w:tab w:val="left" w:pos="1985"/>
        </w:tabs>
        <w:spacing w:line="240" w:lineRule="atLeast"/>
        <w:jc w:val="center"/>
        <w:rPr>
          <w:rFonts w:ascii="Calibri" w:hAnsi="Calibri"/>
          <w:i/>
          <w:sz w:val="20"/>
        </w:rPr>
      </w:pPr>
    </w:p>
    <w:p w:rsidR="00645B56" w:rsidRDefault="00645B56" w:rsidP="002C5517">
      <w:pPr>
        <w:pStyle w:val="Corpsdetexte"/>
        <w:tabs>
          <w:tab w:val="left" w:pos="1985"/>
        </w:tabs>
        <w:spacing w:line="240" w:lineRule="atLeast"/>
        <w:jc w:val="center"/>
        <w:rPr>
          <w:rFonts w:ascii="Calibri" w:hAnsi="Calibri"/>
          <w:i/>
          <w:sz w:val="20"/>
        </w:rPr>
      </w:pPr>
    </w:p>
    <w:p w:rsidR="002C5517" w:rsidRPr="00683D96" w:rsidRDefault="002C5517" w:rsidP="002C5517">
      <w:pPr>
        <w:pStyle w:val="Corpsdetexte"/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jc w:val="center"/>
        <w:rPr>
          <w:rFonts w:ascii="Calibri" w:hAnsi="Calibri"/>
          <w:b/>
          <w:sz w:val="28"/>
          <w:szCs w:val="24"/>
        </w:rPr>
      </w:pPr>
      <w:r w:rsidRPr="00683D96">
        <w:rPr>
          <w:rFonts w:ascii="Calibri" w:hAnsi="Calibri"/>
          <w:b/>
          <w:sz w:val="28"/>
        </w:rPr>
        <w:t xml:space="preserve">Bilan global </w:t>
      </w:r>
      <w:r w:rsidR="007B014D">
        <w:rPr>
          <w:rFonts w:ascii="Calibri" w:hAnsi="Calibri"/>
          <w:b/>
          <w:sz w:val="28"/>
        </w:rPr>
        <w:t>aide à la scolarité</w:t>
      </w:r>
      <w:r w:rsidRPr="00683D96">
        <w:rPr>
          <w:rFonts w:ascii="Calibri" w:hAnsi="Calibri"/>
          <w:b/>
          <w:sz w:val="28"/>
        </w:rPr>
        <w:t xml:space="preserve"> </w:t>
      </w:r>
      <w:r w:rsidR="007B014D">
        <w:rPr>
          <w:rFonts w:ascii="Calibri" w:hAnsi="Calibri"/>
          <w:b/>
          <w:sz w:val="28"/>
        </w:rPr>
        <w:t>(</w:t>
      </w:r>
      <w:r w:rsidR="00420B1D" w:rsidRPr="00683D96">
        <w:rPr>
          <w:rFonts w:ascii="Calibri" w:hAnsi="Calibri"/>
          <w:b/>
          <w:sz w:val="28"/>
        </w:rPr>
        <w:t>rythmes sud et</w:t>
      </w:r>
      <w:r w:rsidR="00420B1D" w:rsidRPr="00420B1D">
        <w:rPr>
          <w:rFonts w:ascii="Calibri" w:hAnsi="Calibri"/>
          <w:b/>
          <w:sz w:val="28"/>
        </w:rPr>
        <w:t xml:space="preserve"> </w:t>
      </w:r>
      <w:r w:rsidR="00420B1D" w:rsidRPr="00683D96">
        <w:rPr>
          <w:rFonts w:ascii="Calibri" w:hAnsi="Calibri"/>
          <w:b/>
          <w:sz w:val="28"/>
        </w:rPr>
        <w:t>nord) 20</w:t>
      </w:r>
      <w:r w:rsidR="00420B1D">
        <w:rPr>
          <w:rFonts w:ascii="Calibri" w:hAnsi="Calibri"/>
          <w:b/>
          <w:sz w:val="28"/>
        </w:rPr>
        <w:t xml:space="preserve">11 et </w:t>
      </w:r>
      <w:r w:rsidR="00420B1D" w:rsidRPr="00683D96">
        <w:rPr>
          <w:rFonts w:ascii="Calibri" w:hAnsi="Calibri"/>
          <w:b/>
          <w:sz w:val="28"/>
        </w:rPr>
        <w:t>201</w:t>
      </w:r>
      <w:r w:rsidR="00420B1D">
        <w:rPr>
          <w:rFonts w:ascii="Calibri" w:hAnsi="Calibri"/>
          <w:b/>
          <w:sz w:val="28"/>
        </w:rPr>
        <w:t>1/</w:t>
      </w:r>
      <w:r w:rsidR="00420B1D" w:rsidRPr="00683D96">
        <w:rPr>
          <w:rFonts w:ascii="Calibri" w:hAnsi="Calibri"/>
          <w:b/>
          <w:sz w:val="28"/>
        </w:rPr>
        <w:t>201</w:t>
      </w:r>
      <w:r w:rsidR="00420B1D">
        <w:rPr>
          <w:rFonts w:ascii="Calibri" w:hAnsi="Calibri"/>
          <w:b/>
          <w:sz w:val="28"/>
        </w:rPr>
        <w:t>2</w:t>
      </w:r>
    </w:p>
    <w:p w:rsidR="002C5517" w:rsidRPr="00051CF4" w:rsidRDefault="002C5517" w:rsidP="002C5517">
      <w:pPr>
        <w:pStyle w:val="Corpsdetexte"/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jc w:val="center"/>
        <w:rPr>
          <w:rFonts w:ascii="Calibri" w:hAnsi="Calibri"/>
          <w:b/>
          <w:sz w:val="22"/>
        </w:rPr>
      </w:pPr>
    </w:p>
    <w:p w:rsidR="007B014D" w:rsidRDefault="00B55523" w:rsidP="007B014D">
      <w:pPr>
        <w:pStyle w:val="Corpsdetexte"/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tabs>
          <w:tab w:val="left" w:pos="1985"/>
          <w:tab w:val="left" w:pos="3402"/>
        </w:tabs>
        <w:spacing w:line="240" w:lineRule="atLeast"/>
        <w:jc w:val="center"/>
        <w:rPr>
          <w:rFonts w:ascii="Calibri" w:hAnsi="Calibri"/>
          <w:szCs w:val="24"/>
        </w:rPr>
      </w:pPr>
      <w:r w:rsidRPr="007B014D">
        <w:rPr>
          <w:rFonts w:ascii="Calibri" w:hAnsi="Calibri"/>
          <w:szCs w:val="24"/>
        </w:rPr>
        <w:t xml:space="preserve">32 601 </w:t>
      </w:r>
      <w:r w:rsidR="002C5517" w:rsidRPr="007B014D">
        <w:rPr>
          <w:rFonts w:ascii="Calibri" w:hAnsi="Calibri"/>
          <w:szCs w:val="24"/>
        </w:rPr>
        <w:t>élèves</w:t>
      </w:r>
      <w:r w:rsidR="007B014D">
        <w:rPr>
          <w:rFonts w:ascii="Calibri" w:hAnsi="Calibri"/>
          <w:szCs w:val="24"/>
        </w:rPr>
        <w:t xml:space="preserve"> aidés</w:t>
      </w:r>
      <w:r w:rsidR="002C5517" w:rsidRPr="007B014D">
        <w:rPr>
          <w:rFonts w:ascii="Calibri" w:hAnsi="Calibri"/>
          <w:szCs w:val="24"/>
        </w:rPr>
        <w:t xml:space="preserve"> </w:t>
      </w:r>
      <w:r w:rsidR="007B014D">
        <w:rPr>
          <w:rFonts w:ascii="Calibri" w:hAnsi="Calibri"/>
          <w:szCs w:val="24"/>
        </w:rPr>
        <w:t xml:space="preserve">(N-1 : </w:t>
      </w:r>
      <w:r w:rsidR="007B014D" w:rsidRPr="007B014D">
        <w:rPr>
          <w:rFonts w:ascii="Calibri" w:hAnsi="Calibri"/>
          <w:szCs w:val="24"/>
        </w:rPr>
        <w:t>30 8</w:t>
      </w:r>
      <w:r w:rsidR="007B014D">
        <w:rPr>
          <w:rFonts w:ascii="Calibri" w:hAnsi="Calibri"/>
          <w:szCs w:val="24"/>
        </w:rPr>
        <w:t>47)</w:t>
      </w:r>
      <w:r w:rsidR="007B014D">
        <w:rPr>
          <w:rFonts w:ascii="Calibri" w:hAnsi="Calibri"/>
          <w:szCs w:val="24"/>
        </w:rPr>
        <w:tab/>
      </w:r>
      <w:r w:rsidR="007B014D">
        <w:rPr>
          <w:rFonts w:ascii="Calibri" w:hAnsi="Calibri"/>
          <w:szCs w:val="24"/>
        </w:rPr>
        <w:tab/>
        <w:t xml:space="preserve">Montant </w:t>
      </w:r>
      <w:r w:rsidRPr="007B014D">
        <w:rPr>
          <w:rFonts w:ascii="Calibri" w:hAnsi="Calibri"/>
          <w:szCs w:val="24"/>
        </w:rPr>
        <w:t>120,22M</w:t>
      </w:r>
      <w:r w:rsidR="002C5517" w:rsidRPr="007B014D">
        <w:rPr>
          <w:rFonts w:ascii="Calibri" w:hAnsi="Calibri"/>
          <w:szCs w:val="24"/>
        </w:rPr>
        <w:t xml:space="preserve">€  </w:t>
      </w:r>
      <w:r w:rsidR="007B014D">
        <w:rPr>
          <w:rFonts w:ascii="Calibri" w:hAnsi="Calibri"/>
          <w:szCs w:val="24"/>
        </w:rPr>
        <w:t>(N-1 :</w:t>
      </w:r>
      <w:r w:rsidR="007B014D" w:rsidRPr="007B014D">
        <w:rPr>
          <w:rFonts w:ascii="Calibri" w:hAnsi="Calibri"/>
          <w:szCs w:val="24"/>
        </w:rPr>
        <w:t xml:space="preserve"> 11</w:t>
      </w:r>
      <w:r w:rsidR="007B014D">
        <w:rPr>
          <w:rFonts w:ascii="Calibri" w:hAnsi="Calibri"/>
          <w:szCs w:val="24"/>
        </w:rPr>
        <w:t>0</w:t>
      </w:r>
      <w:r w:rsidR="007B014D" w:rsidRPr="007B014D">
        <w:rPr>
          <w:rFonts w:ascii="Calibri" w:hAnsi="Calibri"/>
          <w:szCs w:val="24"/>
        </w:rPr>
        <w:t>,</w:t>
      </w:r>
      <w:r w:rsidR="007B014D">
        <w:rPr>
          <w:rFonts w:ascii="Calibri" w:hAnsi="Calibri"/>
          <w:szCs w:val="24"/>
        </w:rPr>
        <w:t>39</w:t>
      </w:r>
      <w:r w:rsidR="007B014D" w:rsidRPr="007B014D">
        <w:rPr>
          <w:rFonts w:ascii="Calibri" w:hAnsi="Calibri"/>
          <w:szCs w:val="24"/>
        </w:rPr>
        <w:t>M</w:t>
      </w:r>
      <w:r w:rsidR="007B014D">
        <w:rPr>
          <w:rFonts w:ascii="Calibri" w:hAnsi="Calibri"/>
          <w:szCs w:val="24"/>
        </w:rPr>
        <w:t>€)</w:t>
      </w:r>
      <w:r w:rsidR="007B014D" w:rsidRPr="007B014D">
        <w:rPr>
          <w:rFonts w:ascii="Calibri" w:hAnsi="Calibri"/>
          <w:i/>
          <w:szCs w:val="24"/>
        </w:rPr>
        <w:t xml:space="preserve"> </w:t>
      </w:r>
    </w:p>
    <w:p w:rsidR="002C5517" w:rsidRPr="007B014D" w:rsidRDefault="002C5517" w:rsidP="007B014D">
      <w:pPr>
        <w:pStyle w:val="Corpsdetexte"/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tabs>
          <w:tab w:val="left" w:pos="1985"/>
          <w:tab w:val="left" w:pos="3402"/>
        </w:tabs>
        <w:spacing w:line="240" w:lineRule="atLeast"/>
        <w:jc w:val="center"/>
        <w:rPr>
          <w:rFonts w:ascii="Calibri" w:hAnsi="Calibri"/>
          <w:szCs w:val="24"/>
        </w:rPr>
      </w:pPr>
      <w:r w:rsidRPr="007B014D">
        <w:rPr>
          <w:rFonts w:ascii="Calibri" w:hAnsi="Calibri"/>
          <w:szCs w:val="24"/>
        </w:rPr>
        <w:t xml:space="preserve">Coût moyen </w:t>
      </w:r>
      <w:r w:rsidR="00B55523" w:rsidRPr="007B014D">
        <w:rPr>
          <w:rFonts w:ascii="Calibri" w:hAnsi="Calibri"/>
          <w:szCs w:val="24"/>
        </w:rPr>
        <w:t>3 687€</w:t>
      </w:r>
      <w:r w:rsidR="007B014D" w:rsidRPr="007B014D">
        <w:rPr>
          <w:rFonts w:ascii="Calibri" w:hAnsi="Calibri"/>
          <w:szCs w:val="24"/>
        </w:rPr>
        <w:t xml:space="preserve"> </w:t>
      </w:r>
      <w:r w:rsidR="007B014D">
        <w:rPr>
          <w:rFonts w:ascii="Calibri" w:hAnsi="Calibri"/>
          <w:szCs w:val="24"/>
        </w:rPr>
        <w:t>(N-1 :</w:t>
      </w:r>
      <w:r w:rsidR="007B014D" w:rsidRPr="007B014D">
        <w:rPr>
          <w:rFonts w:ascii="Calibri" w:hAnsi="Calibri"/>
          <w:szCs w:val="24"/>
        </w:rPr>
        <w:t xml:space="preserve"> 3 </w:t>
      </w:r>
      <w:r w:rsidR="007B014D">
        <w:rPr>
          <w:rFonts w:ascii="Calibri" w:hAnsi="Calibri"/>
          <w:szCs w:val="24"/>
        </w:rPr>
        <w:t>578</w:t>
      </w:r>
      <w:r w:rsidR="007B014D" w:rsidRPr="007B014D">
        <w:rPr>
          <w:rFonts w:ascii="Calibri" w:hAnsi="Calibri"/>
          <w:szCs w:val="24"/>
        </w:rPr>
        <w:t>€</w:t>
      </w:r>
      <w:r w:rsidR="007B014D">
        <w:rPr>
          <w:rFonts w:ascii="Calibri" w:hAnsi="Calibri"/>
          <w:szCs w:val="24"/>
        </w:rPr>
        <w:t>)</w:t>
      </w:r>
    </w:p>
    <w:p w:rsidR="002C5517" w:rsidRPr="007B014D" w:rsidRDefault="002C5517" w:rsidP="007B014D">
      <w:pPr>
        <w:pStyle w:val="Corpsdetexte"/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tabs>
          <w:tab w:val="left" w:pos="1985"/>
          <w:tab w:val="left" w:pos="3402"/>
        </w:tabs>
        <w:spacing w:line="240" w:lineRule="atLeast"/>
        <w:jc w:val="center"/>
        <w:rPr>
          <w:rFonts w:ascii="Calibri" w:hAnsi="Calibri"/>
          <w:i/>
          <w:szCs w:val="24"/>
        </w:rPr>
      </w:pPr>
    </w:p>
    <w:p w:rsidR="002C5517" w:rsidRPr="008906F9" w:rsidRDefault="002C5517" w:rsidP="002C5517">
      <w:pPr>
        <w:pStyle w:val="Corpsdetexte"/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tabs>
          <w:tab w:val="left" w:pos="1985"/>
        </w:tabs>
        <w:spacing w:line="240" w:lineRule="atLeast"/>
        <w:jc w:val="center"/>
        <w:rPr>
          <w:rFonts w:ascii="Calibri" w:hAnsi="Calibri"/>
          <w:i/>
          <w:color w:val="C0504D"/>
          <w:sz w:val="20"/>
        </w:rPr>
      </w:pPr>
      <w:r>
        <w:rPr>
          <w:rFonts w:ascii="Calibri" w:hAnsi="Calibri"/>
          <w:b/>
          <w:i/>
          <w:color w:val="C0504D"/>
          <w:sz w:val="20"/>
          <w:szCs w:val="24"/>
        </w:rPr>
        <w:t>Progression en nombre de 5,</w:t>
      </w:r>
      <w:r w:rsidR="00B55523">
        <w:rPr>
          <w:rFonts w:ascii="Calibri" w:hAnsi="Calibri"/>
          <w:b/>
          <w:i/>
          <w:color w:val="C0504D"/>
          <w:sz w:val="20"/>
          <w:szCs w:val="24"/>
        </w:rPr>
        <w:t>7</w:t>
      </w:r>
      <w:r w:rsidRPr="008906F9">
        <w:rPr>
          <w:rFonts w:ascii="Calibri" w:hAnsi="Calibri"/>
          <w:b/>
          <w:i/>
          <w:color w:val="C0504D"/>
          <w:sz w:val="20"/>
          <w:szCs w:val="24"/>
        </w:rPr>
        <w:t xml:space="preserve"> % </w:t>
      </w:r>
      <w:r w:rsidR="00B55523">
        <w:rPr>
          <w:rFonts w:ascii="Calibri" w:hAnsi="Calibri"/>
          <w:b/>
          <w:i/>
          <w:color w:val="C0504D"/>
          <w:sz w:val="20"/>
          <w:szCs w:val="24"/>
        </w:rPr>
        <w:tab/>
      </w:r>
      <w:r w:rsidR="00B55523">
        <w:rPr>
          <w:rFonts w:ascii="Calibri" w:hAnsi="Calibri"/>
          <w:b/>
          <w:i/>
          <w:color w:val="C0504D"/>
          <w:sz w:val="20"/>
          <w:szCs w:val="24"/>
        </w:rPr>
        <w:tab/>
      </w:r>
      <w:r w:rsidRPr="008906F9">
        <w:rPr>
          <w:rFonts w:ascii="Calibri" w:hAnsi="Calibri"/>
          <w:b/>
          <w:i/>
          <w:color w:val="C0504D"/>
          <w:sz w:val="20"/>
          <w:szCs w:val="24"/>
        </w:rPr>
        <w:t xml:space="preserve"> en montant de </w:t>
      </w:r>
      <w:r w:rsidR="00B55523">
        <w:rPr>
          <w:rFonts w:ascii="Calibri" w:hAnsi="Calibri"/>
          <w:b/>
          <w:i/>
          <w:color w:val="C0504D"/>
          <w:sz w:val="20"/>
          <w:szCs w:val="24"/>
        </w:rPr>
        <w:t>8,9</w:t>
      </w:r>
      <w:r w:rsidRPr="008906F9">
        <w:rPr>
          <w:rFonts w:ascii="Calibri" w:hAnsi="Calibri"/>
          <w:b/>
          <w:i/>
          <w:color w:val="C0504D"/>
          <w:sz w:val="20"/>
          <w:szCs w:val="24"/>
        </w:rPr>
        <w:t xml:space="preserve"> %</w:t>
      </w:r>
      <w:r w:rsidR="00B55523">
        <w:rPr>
          <w:rFonts w:ascii="Calibri" w:hAnsi="Calibri"/>
          <w:b/>
          <w:i/>
          <w:color w:val="C0504D"/>
          <w:sz w:val="20"/>
          <w:szCs w:val="24"/>
        </w:rPr>
        <w:t xml:space="preserve"> </w:t>
      </w:r>
    </w:p>
    <w:p w:rsidR="002C5517" w:rsidRPr="00051CF4" w:rsidRDefault="002C5517" w:rsidP="002C5517">
      <w:pPr>
        <w:jc w:val="both"/>
        <w:rPr>
          <w:rFonts w:ascii="Calibri" w:hAnsi="Calibri"/>
          <w:b/>
          <w:highlight w:val="lightGray"/>
        </w:rPr>
      </w:pPr>
    </w:p>
    <w:p w:rsidR="002C5517" w:rsidRPr="00051CF4" w:rsidRDefault="002C5517" w:rsidP="002C5517">
      <w:pPr>
        <w:jc w:val="both"/>
        <w:rPr>
          <w:rFonts w:ascii="Calibri" w:hAnsi="Calibri"/>
          <w:b/>
          <w:highlight w:val="lightGray"/>
        </w:rPr>
      </w:pPr>
    </w:p>
    <w:p w:rsidR="002C5517" w:rsidRDefault="002C5517" w:rsidP="002C551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II </w:t>
      </w:r>
      <w:r w:rsidR="007B014D">
        <w:rPr>
          <w:rFonts w:ascii="Calibri" w:hAnsi="Calibri"/>
          <w:b/>
          <w:sz w:val="28"/>
        </w:rPr>
        <w:t xml:space="preserve">- </w:t>
      </w:r>
      <w:r w:rsidRPr="00D41EF8">
        <w:rPr>
          <w:rFonts w:ascii="Calibri" w:hAnsi="Calibri"/>
          <w:b/>
          <w:sz w:val="28"/>
        </w:rPr>
        <w:t>Campagne en cours 201</w:t>
      </w:r>
      <w:r w:rsidR="007B014D">
        <w:rPr>
          <w:rFonts w:ascii="Calibri" w:hAnsi="Calibri"/>
          <w:b/>
          <w:sz w:val="28"/>
        </w:rPr>
        <w:t>2</w:t>
      </w:r>
      <w:r w:rsidRPr="00D41EF8">
        <w:rPr>
          <w:rFonts w:ascii="Calibri" w:hAnsi="Calibri"/>
          <w:b/>
          <w:sz w:val="28"/>
        </w:rPr>
        <w:t>/201</w:t>
      </w:r>
      <w:r w:rsidR="007B014D">
        <w:rPr>
          <w:rFonts w:ascii="Calibri" w:hAnsi="Calibri"/>
          <w:b/>
          <w:sz w:val="28"/>
        </w:rPr>
        <w:t>3</w:t>
      </w:r>
      <w:r w:rsidRPr="00D41EF8">
        <w:rPr>
          <w:rFonts w:ascii="Calibri" w:hAnsi="Calibri"/>
          <w:b/>
          <w:sz w:val="28"/>
        </w:rPr>
        <w:t xml:space="preserve"> (rythme nord) et 201</w:t>
      </w:r>
      <w:r w:rsidR="007B014D">
        <w:rPr>
          <w:rFonts w:ascii="Calibri" w:hAnsi="Calibri"/>
          <w:b/>
          <w:sz w:val="28"/>
        </w:rPr>
        <w:t>2</w:t>
      </w:r>
      <w:r w:rsidRPr="00D41EF8">
        <w:rPr>
          <w:rFonts w:ascii="Calibri" w:hAnsi="Calibri"/>
          <w:b/>
          <w:sz w:val="28"/>
        </w:rPr>
        <w:t xml:space="preserve"> (pays du rythme sud).</w:t>
      </w:r>
    </w:p>
    <w:p w:rsidR="002C5517" w:rsidRPr="00324302" w:rsidRDefault="002C5517" w:rsidP="002C5517">
      <w:pPr>
        <w:jc w:val="center"/>
        <w:rPr>
          <w:rFonts w:ascii="Calibri" w:hAnsi="Calibri"/>
          <w:b/>
        </w:rPr>
      </w:pPr>
    </w:p>
    <w:p w:rsidR="002C5517" w:rsidRPr="00824C98" w:rsidRDefault="002C5517" w:rsidP="002C5517">
      <w:pPr>
        <w:rPr>
          <w:rFonts w:ascii="Calibri" w:hAnsi="Calibri"/>
          <w:sz w:val="24"/>
        </w:rPr>
      </w:pPr>
      <w:r w:rsidRPr="00824C98">
        <w:rPr>
          <w:rFonts w:ascii="Calibri" w:hAnsi="Calibri"/>
          <w:sz w:val="24"/>
        </w:rPr>
        <w:t xml:space="preserve">Dotation </w:t>
      </w:r>
      <w:r w:rsidR="007B014D">
        <w:rPr>
          <w:rFonts w:ascii="Calibri" w:hAnsi="Calibri"/>
          <w:sz w:val="24"/>
        </w:rPr>
        <w:t xml:space="preserve">initiale </w:t>
      </w:r>
      <w:r w:rsidRPr="00824C98">
        <w:rPr>
          <w:rFonts w:ascii="Calibri" w:hAnsi="Calibri"/>
          <w:sz w:val="24"/>
        </w:rPr>
        <w:t>201</w:t>
      </w:r>
      <w:r w:rsidR="007B014D">
        <w:rPr>
          <w:rFonts w:ascii="Calibri" w:hAnsi="Calibri"/>
          <w:sz w:val="24"/>
        </w:rPr>
        <w:t>2</w:t>
      </w:r>
      <w:r w:rsidRPr="00824C98">
        <w:rPr>
          <w:rFonts w:ascii="Calibri" w:hAnsi="Calibri"/>
          <w:sz w:val="24"/>
        </w:rPr>
        <w:t xml:space="preserve"> ouverte à ce jour : 1</w:t>
      </w:r>
      <w:r w:rsidR="007B014D">
        <w:rPr>
          <w:rFonts w:ascii="Calibri" w:hAnsi="Calibri"/>
          <w:sz w:val="24"/>
        </w:rPr>
        <w:t>25</w:t>
      </w:r>
      <w:r w:rsidRPr="00824C98">
        <w:rPr>
          <w:rFonts w:ascii="Calibri" w:hAnsi="Calibri"/>
          <w:sz w:val="24"/>
        </w:rPr>
        <w:t>,</w:t>
      </w:r>
      <w:r w:rsidR="007B014D">
        <w:rPr>
          <w:rFonts w:ascii="Calibri" w:hAnsi="Calibri"/>
          <w:sz w:val="24"/>
        </w:rPr>
        <w:t>5</w:t>
      </w:r>
      <w:r w:rsidRPr="00824C98">
        <w:rPr>
          <w:rFonts w:ascii="Calibri" w:hAnsi="Calibri"/>
          <w:sz w:val="24"/>
        </w:rPr>
        <w:t xml:space="preserve"> M€ </w:t>
      </w:r>
      <w:r w:rsidR="007B014D">
        <w:rPr>
          <w:rFonts w:ascii="Calibri" w:hAnsi="Calibri"/>
          <w:sz w:val="24"/>
        </w:rPr>
        <w:t>avant gel légale.</w:t>
      </w:r>
    </w:p>
    <w:p w:rsidR="002C5517" w:rsidRPr="00824C98" w:rsidRDefault="002C5517" w:rsidP="002C5517">
      <w:pPr>
        <w:rPr>
          <w:rFonts w:ascii="Calibri" w:hAnsi="Calibri"/>
          <w:sz w:val="24"/>
        </w:rPr>
      </w:pPr>
      <w:r w:rsidRPr="00824C98">
        <w:rPr>
          <w:rFonts w:ascii="Calibri" w:hAnsi="Calibri"/>
          <w:sz w:val="24"/>
        </w:rPr>
        <w:tab/>
        <w:t xml:space="preserve"> - sous-action 1 « bourses scolaires » : </w:t>
      </w:r>
      <w:r w:rsidR="007B014D">
        <w:rPr>
          <w:rFonts w:ascii="Calibri" w:hAnsi="Calibri"/>
          <w:sz w:val="24"/>
        </w:rPr>
        <w:t xml:space="preserve">93,6 M€ </w:t>
      </w:r>
    </w:p>
    <w:p w:rsidR="002C5517" w:rsidRPr="00824C98" w:rsidRDefault="002C5517" w:rsidP="002C5517">
      <w:pPr>
        <w:rPr>
          <w:rFonts w:ascii="Calibri" w:hAnsi="Calibri"/>
          <w:sz w:val="24"/>
        </w:rPr>
      </w:pPr>
      <w:r w:rsidRPr="00824C98">
        <w:rPr>
          <w:rFonts w:ascii="Calibri" w:hAnsi="Calibri"/>
          <w:sz w:val="24"/>
        </w:rPr>
        <w:tab/>
        <w:t xml:space="preserve"> - sous action 2 « prise en charge » :    3</w:t>
      </w:r>
      <w:r w:rsidR="007B014D">
        <w:rPr>
          <w:rFonts w:ascii="Calibri" w:hAnsi="Calibri"/>
          <w:sz w:val="24"/>
        </w:rPr>
        <w:t>1</w:t>
      </w:r>
      <w:r w:rsidRPr="00824C98">
        <w:rPr>
          <w:rFonts w:ascii="Calibri" w:hAnsi="Calibri"/>
          <w:sz w:val="24"/>
        </w:rPr>
        <w:t>,</w:t>
      </w:r>
      <w:r w:rsidR="007B014D">
        <w:rPr>
          <w:rFonts w:ascii="Calibri" w:hAnsi="Calibri"/>
          <w:sz w:val="24"/>
        </w:rPr>
        <w:t>9</w:t>
      </w:r>
      <w:r w:rsidRPr="00824C98">
        <w:rPr>
          <w:rFonts w:ascii="Calibri" w:hAnsi="Calibri"/>
          <w:sz w:val="24"/>
        </w:rPr>
        <w:t xml:space="preserve"> M€. </w:t>
      </w:r>
    </w:p>
    <w:p w:rsidR="002C5517" w:rsidRPr="00824C98" w:rsidRDefault="002C5517" w:rsidP="002C5517">
      <w:pPr>
        <w:pStyle w:val="Corpsdetexte3"/>
        <w:ind w:left="720"/>
        <w:jc w:val="both"/>
        <w:rPr>
          <w:rFonts w:ascii="Calibri" w:hAnsi="Calibri"/>
          <w:i/>
          <w:iCs/>
        </w:rPr>
      </w:pPr>
    </w:p>
    <w:p w:rsidR="002C5517" w:rsidRPr="00824C98" w:rsidRDefault="002C5517" w:rsidP="002C5517">
      <w:pPr>
        <w:pStyle w:val="Corpsdetexte3"/>
        <w:jc w:val="both"/>
        <w:rPr>
          <w:rFonts w:ascii="Calibri" w:hAnsi="Calibri"/>
          <w:b/>
          <w:iCs/>
        </w:rPr>
      </w:pPr>
      <w:r w:rsidRPr="00824C98">
        <w:rPr>
          <w:rFonts w:ascii="Calibri" w:hAnsi="Calibri"/>
          <w:b/>
          <w:iCs/>
        </w:rPr>
        <w:t>Frais de scolarité rythme sud :</w:t>
      </w:r>
    </w:p>
    <w:p w:rsidR="00645B56" w:rsidRDefault="007B014D" w:rsidP="002C5517">
      <w:pPr>
        <w:pStyle w:val="Corpsdetexte3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645B56" w:rsidRPr="001546E5">
        <w:rPr>
          <w:sz w:val="24"/>
          <w:szCs w:val="24"/>
        </w:rPr>
        <w:t xml:space="preserve">oyenne annuelle des frais de scolarité des pays du rythme </w:t>
      </w:r>
      <w:r w:rsidR="00645B56">
        <w:rPr>
          <w:sz w:val="24"/>
          <w:szCs w:val="24"/>
        </w:rPr>
        <w:t xml:space="preserve">sud </w:t>
      </w:r>
      <w:r w:rsidR="00645B56" w:rsidRPr="001546E5">
        <w:rPr>
          <w:sz w:val="24"/>
          <w:szCs w:val="24"/>
        </w:rPr>
        <w:t>2012</w:t>
      </w:r>
      <w:r>
        <w:rPr>
          <w:sz w:val="24"/>
          <w:szCs w:val="24"/>
        </w:rPr>
        <w:t xml:space="preserve"> : </w:t>
      </w:r>
      <w:r w:rsidR="00645B56">
        <w:rPr>
          <w:sz w:val="24"/>
          <w:szCs w:val="24"/>
        </w:rPr>
        <w:t>4 922 </w:t>
      </w:r>
      <w:r w:rsidR="00645B56" w:rsidRPr="001546E5">
        <w:rPr>
          <w:sz w:val="24"/>
          <w:szCs w:val="24"/>
        </w:rPr>
        <w:t xml:space="preserve">€ contre </w:t>
      </w:r>
      <w:r w:rsidR="00645B56">
        <w:rPr>
          <w:sz w:val="24"/>
          <w:szCs w:val="24"/>
        </w:rPr>
        <w:t>4 695</w:t>
      </w:r>
      <w:r w:rsidR="00645B56" w:rsidRPr="001546E5">
        <w:rPr>
          <w:sz w:val="24"/>
          <w:szCs w:val="24"/>
        </w:rPr>
        <w:t xml:space="preserve"> € l’an dernier (+ </w:t>
      </w:r>
      <w:r w:rsidR="00645B56">
        <w:rPr>
          <w:sz w:val="24"/>
          <w:szCs w:val="24"/>
        </w:rPr>
        <w:t>4,8</w:t>
      </w:r>
      <w:r w:rsidR="00645B56" w:rsidRPr="001546E5">
        <w:rPr>
          <w:sz w:val="24"/>
          <w:szCs w:val="24"/>
        </w:rPr>
        <w:t xml:space="preserve"> %)</w:t>
      </w:r>
    </w:p>
    <w:p w:rsidR="002C5517" w:rsidRPr="00824C98" w:rsidRDefault="002C5517" w:rsidP="002C5517">
      <w:pPr>
        <w:pStyle w:val="Corpsdetexte3"/>
        <w:jc w:val="both"/>
        <w:rPr>
          <w:rFonts w:ascii="Calibri" w:hAnsi="Calibri"/>
          <w:b/>
          <w:iCs/>
        </w:rPr>
      </w:pPr>
      <w:r w:rsidRPr="00824C98">
        <w:rPr>
          <w:rFonts w:ascii="Calibri" w:hAnsi="Calibri"/>
          <w:b/>
          <w:iCs/>
        </w:rPr>
        <w:t>Frais de scolarité rythme nord :</w:t>
      </w:r>
    </w:p>
    <w:p w:rsidR="00645B56" w:rsidRPr="00645B56" w:rsidRDefault="00645B56" w:rsidP="002C5517">
      <w:pPr>
        <w:pStyle w:val="Corpsdetexte3"/>
        <w:jc w:val="both"/>
        <w:rPr>
          <w:rFonts w:ascii="Calibri" w:hAnsi="Calibri"/>
          <w:bCs/>
          <w:iCs/>
        </w:rPr>
      </w:pPr>
      <w:r w:rsidRPr="00645B56">
        <w:rPr>
          <w:rFonts w:ascii="Calibri" w:hAnsi="Calibri"/>
          <w:bCs/>
          <w:iCs/>
        </w:rPr>
        <w:t xml:space="preserve">Moyenne (provisoire) des frais de scolarité  4 320 € contre 3 936 € l’année précédente (+ 9,8 %) </w:t>
      </w:r>
    </w:p>
    <w:p w:rsidR="002C5517" w:rsidRPr="00645B56" w:rsidRDefault="00645B56" w:rsidP="002C5517">
      <w:pPr>
        <w:pStyle w:val="Corpsdetexte3"/>
        <w:jc w:val="both"/>
        <w:rPr>
          <w:rFonts w:ascii="Calibri" w:hAnsi="Calibri"/>
          <w:iCs/>
        </w:rPr>
      </w:pPr>
      <w:r w:rsidRPr="00645B56">
        <w:rPr>
          <w:rFonts w:ascii="Calibri" w:hAnsi="Calibri"/>
          <w:bCs/>
          <w:iCs/>
        </w:rPr>
        <w:t>– Inscription annuelle moyenne 230 € - première inscription moyenne 665</w:t>
      </w:r>
      <w:r w:rsidR="002C5517" w:rsidRPr="00645B56">
        <w:rPr>
          <w:rFonts w:ascii="Calibri" w:hAnsi="Calibri"/>
          <w:iCs/>
        </w:rPr>
        <w:t>.</w:t>
      </w:r>
    </w:p>
    <w:p w:rsidR="002C5517" w:rsidRPr="00824C98" w:rsidRDefault="002C5517" w:rsidP="002C5517">
      <w:pPr>
        <w:pStyle w:val="Corpsdetexte3"/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>L</w:t>
      </w:r>
      <w:r w:rsidRPr="00824C98">
        <w:rPr>
          <w:rFonts w:ascii="Calibri" w:hAnsi="Calibri"/>
          <w:iCs/>
        </w:rPr>
        <w:t xml:space="preserve">’école internationale des Nations Unies à New York pratique les frais de scolarité les plus élevés </w:t>
      </w:r>
      <w:r w:rsidR="00645B56">
        <w:rPr>
          <w:sz w:val="24"/>
          <w:szCs w:val="24"/>
        </w:rPr>
        <w:t xml:space="preserve">20 847 € </w:t>
      </w:r>
      <w:r w:rsidR="00645B56" w:rsidRPr="001546E5">
        <w:rPr>
          <w:sz w:val="24"/>
          <w:szCs w:val="24"/>
        </w:rPr>
        <w:t>en moyenne</w:t>
      </w:r>
      <w:r w:rsidRPr="00824C98">
        <w:rPr>
          <w:rFonts w:ascii="Calibri" w:hAnsi="Calibri"/>
          <w:iCs/>
        </w:rPr>
        <w:t xml:space="preserve">, l’école de l’ Alliance à </w:t>
      </w:r>
      <w:proofErr w:type="spellStart"/>
      <w:r w:rsidRPr="00824C98">
        <w:rPr>
          <w:rFonts w:ascii="Calibri" w:hAnsi="Calibri"/>
          <w:iCs/>
        </w:rPr>
        <w:t>Monrondava</w:t>
      </w:r>
      <w:proofErr w:type="spellEnd"/>
      <w:r w:rsidR="00645B56">
        <w:rPr>
          <w:rFonts w:ascii="Calibri" w:hAnsi="Calibri"/>
          <w:iCs/>
        </w:rPr>
        <w:t xml:space="preserve"> </w:t>
      </w:r>
      <w:r w:rsidR="00645B56" w:rsidRPr="001546E5">
        <w:rPr>
          <w:sz w:val="24"/>
          <w:szCs w:val="24"/>
        </w:rPr>
        <w:t>(Madagascar)</w:t>
      </w:r>
      <w:r w:rsidRPr="00824C98">
        <w:rPr>
          <w:rFonts w:ascii="Calibri" w:hAnsi="Calibri"/>
          <w:iCs/>
        </w:rPr>
        <w:t>, les tarifs les moins élevés</w:t>
      </w:r>
      <w:r w:rsidR="00645B56">
        <w:rPr>
          <w:rFonts w:ascii="Calibri" w:hAnsi="Calibri"/>
          <w:iCs/>
        </w:rPr>
        <w:t xml:space="preserve"> </w:t>
      </w:r>
      <w:r w:rsidR="00645B56" w:rsidRPr="001546E5">
        <w:rPr>
          <w:sz w:val="24"/>
          <w:szCs w:val="24"/>
        </w:rPr>
        <w:t>1</w:t>
      </w:r>
      <w:r w:rsidR="00645B56">
        <w:rPr>
          <w:sz w:val="24"/>
          <w:szCs w:val="24"/>
        </w:rPr>
        <w:t>88</w:t>
      </w:r>
      <w:r w:rsidR="00645B56" w:rsidRPr="001546E5">
        <w:rPr>
          <w:sz w:val="24"/>
          <w:szCs w:val="24"/>
        </w:rPr>
        <w:t xml:space="preserve"> €</w:t>
      </w:r>
      <w:r w:rsidRPr="00824C98">
        <w:rPr>
          <w:rFonts w:ascii="Calibri" w:hAnsi="Calibri"/>
          <w:iCs/>
        </w:rPr>
        <w:t xml:space="preserve">. </w:t>
      </w:r>
    </w:p>
    <w:p w:rsidR="002C5517" w:rsidRPr="00824C98" w:rsidRDefault="002C5517" w:rsidP="002C5517">
      <w:pPr>
        <w:pStyle w:val="Corpsdetexte3"/>
        <w:ind w:left="720"/>
        <w:jc w:val="both"/>
        <w:rPr>
          <w:rFonts w:ascii="Calibri" w:hAnsi="Calibri"/>
          <w:i/>
          <w:iCs/>
        </w:rPr>
      </w:pPr>
    </w:p>
    <w:p w:rsidR="002C5517" w:rsidRPr="00824C98" w:rsidRDefault="00645B56" w:rsidP="002C5517">
      <w:pPr>
        <w:pStyle w:val="Corpsdetexte3"/>
        <w:jc w:val="both"/>
        <w:rPr>
          <w:rFonts w:ascii="Calibri" w:hAnsi="Calibri"/>
          <w:i/>
          <w:iCs/>
        </w:rPr>
      </w:pPr>
      <w:r w:rsidRPr="00645B56">
        <w:rPr>
          <w:b/>
          <w:sz w:val="24"/>
          <w:szCs w:val="24"/>
        </w:rPr>
        <w:t>Frais parascolaires</w:t>
      </w:r>
      <w:r>
        <w:rPr>
          <w:sz w:val="24"/>
          <w:szCs w:val="24"/>
        </w:rPr>
        <w:t>, la multiplication des tarifs constitue une préoccupation, le coût mondial moyen de la demi-pension s’élève à 695 €, de l’entretien à 207 € du transport scolaire à 874 € et du transport individuel à 417 €.</w:t>
      </w:r>
      <w:r w:rsidR="002C5517" w:rsidRPr="00824C98">
        <w:rPr>
          <w:rFonts w:ascii="Calibri" w:hAnsi="Calibri"/>
          <w:i/>
          <w:iCs/>
        </w:rPr>
        <w:t xml:space="preserve"> </w:t>
      </w:r>
    </w:p>
    <w:p w:rsidR="002C5517" w:rsidRPr="00D41EF8" w:rsidRDefault="002C5517" w:rsidP="002C5517">
      <w:pPr>
        <w:rPr>
          <w:rFonts w:ascii="Calibri" w:hAnsi="Calibri"/>
          <w:b/>
          <w:sz w:val="28"/>
        </w:rPr>
      </w:pPr>
    </w:p>
    <w:p w:rsidR="002C5517" w:rsidRPr="00D86420" w:rsidRDefault="002C5517" w:rsidP="002C5517">
      <w:pPr>
        <w:pStyle w:val="Corpsdetexte3"/>
        <w:jc w:val="left"/>
        <w:rPr>
          <w:rFonts w:ascii="Calibri" w:hAnsi="Calibri"/>
          <w:i/>
          <w:iCs/>
          <w:sz w:val="24"/>
          <w:szCs w:val="24"/>
        </w:rPr>
      </w:pPr>
      <w:r w:rsidRPr="00D86420">
        <w:rPr>
          <w:rFonts w:ascii="Calibri" w:hAnsi="Calibri"/>
          <w:b/>
          <w:iCs/>
          <w:sz w:val="24"/>
          <w:szCs w:val="24"/>
        </w:rPr>
        <w:t>Propositions des commissions locales</w:t>
      </w:r>
      <w:r w:rsidR="009024C5" w:rsidRPr="00D86420">
        <w:rPr>
          <w:rFonts w:ascii="Calibri" w:hAnsi="Calibri"/>
          <w:b/>
          <w:iCs/>
          <w:sz w:val="24"/>
          <w:szCs w:val="24"/>
        </w:rPr>
        <w:t xml:space="preserve"> – </w:t>
      </w:r>
      <w:r w:rsidR="00D86420" w:rsidRPr="00D86420">
        <w:rPr>
          <w:rFonts w:ascii="Calibri" w:hAnsi="Calibri"/>
          <w:b/>
          <w:iCs/>
          <w:sz w:val="24"/>
          <w:szCs w:val="24"/>
        </w:rPr>
        <w:t>Propositions du service des bourses à</w:t>
      </w:r>
      <w:r w:rsidR="009024C5" w:rsidRPr="00D86420">
        <w:rPr>
          <w:rFonts w:ascii="Calibri" w:hAnsi="Calibri"/>
          <w:b/>
          <w:iCs/>
          <w:sz w:val="24"/>
          <w:szCs w:val="24"/>
        </w:rPr>
        <w:t xml:space="preserve"> la CNB</w:t>
      </w:r>
      <w:r w:rsidRPr="00D86420">
        <w:rPr>
          <w:rFonts w:ascii="Calibri" w:hAnsi="Calibri"/>
          <w:i/>
          <w:iCs/>
          <w:sz w:val="24"/>
          <w:szCs w:val="24"/>
        </w:rPr>
        <w:t xml:space="preserve"> :</w:t>
      </w:r>
    </w:p>
    <w:p w:rsidR="00FE4135" w:rsidRDefault="00930732" w:rsidP="00FE4135">
      <w:pPr>
        <w:pStyle w:val="Corpsdetexte"/>
        <w:rPr>
          <w:szCs w:val="24"/>
        </w:rPr>
      </w:pPr>
      <w:r w:rsidRPr="00762CE5">
        <w:rPr>
          <w:b/>
          <w:szCs w:val="24"/>
        </w:rPr>
        <w:t>Rythme Sud </w:t>
      </w:r>
      <w:r w:rsidRPr="00FE4135">
        <w:rPr>
          <w:szCs w:val="24"/>
        </w:rPr>
        <w:t>:</w:t>
      </w:r>
      <w:r w:rsidR="00762CE5">
        <w:rPr>
          <w:szCs w:val="24"/>
        </w:rPr>
        <w:t xml:space="preserve"> a</w:t>
      </w:r>
      <w:r w:rsidR="00FE4135">
        <w:rPr>
          <w:szCs w:val="24"/>
        </w:rPr>
        <w:t>u titre de l’ensemble de l’année scolaire</w:t>
      </w:r>
      <w:r w:rsidR="00762CE5">
        <w:rPr>
          <w:szCs w:val="24"/>
        </w:rPr>
        <w:t xml:space="preserve"> 2012</w:t>
      </w:r>
      <w:r w:rsidR="00FE4135">
        <w:rPr>
          <w:szCs w:val="24"/>
        </w:rPr>
        <w:t>, les commissions locales des pays du rythme sud auront examiné 2 123 demandes de bour</w:t>
      </w:r>
      <w:r w:rsidR="00762CE5">
        <w:rPr>
          <w:szCs w:val="24"/>
        </w:rPr>
        <w:t>ses en proposant favorablement 88%</w:t>
      </w:r>
      <w:r w:rsidR="00FE4135">
        <w:rPr>
          <w:szCs w:val="24"/>
        </w:rPr>
        <w:t>.</w:t>
      </w:r>
      <w:r w:rsidR="00FE4135" w:rsidRPr="00FE4135">
        <w:rPr>
          <w:szCs w:val="24"/>
        </w:rPr>
        <w:t xml:space="preserve"> </w:t>
      </w:r>
    </w:p>
    <w:p w:rsidR="009024C5" w:rsidRDefault="009024C5" w:rsidP="00FE4135">
      <w:pPr>
        <w:pStyle w:val="Corpsdetexte"/>
        <w:rPr>
          <w:szCs w:val="24"/>
        </w:rPr>
      </w:pPr>
    </w:p>
    <w:p w:rsidR="00FE4135" w:rsidRPr="00762CE5" w:rsidRDefault="00D86420" w:rsidP="00FE4135">
      <w:pPr>
        <w:pStyle w:val="Corpsdetexte"/>
        <w:rPr>
          <w:szCs w:val="24"/>
        </w:rPr>
      </w:pPr>
      <w:r>
        <w:rPr>
          <w:szCs w:val="24"/>
          <w:u w:val="single"/>
        </w:rPr>
        <w:t xml:space="preserve">Propositions à la </w:t>
      </w:r>
      <w:r w:rsidR="00FE4135" w:rsidRPr="00762CE5">
        <w:rPr>
          <w:szCs w:val="24"/>
          <w:u w:val="single"/>
        </w:rPr>
        <w:t>CNB </w:t>
      </w:r>
      <w:r w:rsidR="00FE4135">
        <w:rPr>
          <w:szCs w:val="24"/>
        </w:rPr>
        <w:t xml:space="preserve">: </w:t>
      </w:r>
      <w:r w:rsidR="00FE4135" w:rsidRPr="00762CE5">
        <w:rPr>
          <w:szCs w:val="24"/>
        </w:rPr>
        <w:t>1 848</w:t>
      </w:r>
      <w:r w:rsidR="00FE4135">
        <w:rPr>
          <w:szCs w:val="24"/>
        </w:rPr>
        <w:t xml:space="preserve">  élèves pour un montant de </w:t>
      </w:r>
      <w:r w:rsidR="00FE4135" w:rsidRPr="00762CE5">
        <w:rPr>
          <w:szCs w:val="24"/>
        </w:rPr>
        <w:t>9,21 M€.</w:t>
      </w:r>
      <w:r w:rsidR="00FE4135" w:rsidRPr="00FC0755">
        <w:rPr>
          <w:szCs w:val="24"/>
        </w:rPr>
        <w:t xml:space="preserve"> </w:t>
      </w:r>
      <w:r w:rsidR="00FE4135">
        <w:rPr>
          <w:szCs w:val="24"/>
        </w:rPr>
        <w:t>Coût</w:t>
      </w:r>
      <w:r w:rsidR="00FE4135" w:rsidRPr="00AD26A1">
        <w:rPr>
          <w:szCs w:val="24"/>
        </w:rPr>
        <w:t xml:space="preserve"> moyen</w:t>
      </w:r>
      <w:r w:rsidR="00FE4135">
        <w:rPr>
          <w:szCs w:val="24"/>
        </w:rPr>
        <w:t xml:space="preserve"> par boursier </w:t>
      </w:r>
      <w:r w:rsidR="00FE4135" w:rsidRPr="00762CE5">
        <w:rPr>
          <w:szCs w:val="24"/>
        </w:rPr>
        <w:t>4 986 €. R</w:t>
      </w:r>
      <w:r w:rsidR="00FE4135" w:rsidRPr="00673066">
        <w:rPr>
          <w:szCs w:val="24"/>
        </w:rPr>
        <w:t xml:space="preserve">ejet de </w:t>
      </w:r>
      <w:r w:rsidR="00FE4135" w:rsidRPr="00762CE5">
        <w:rPr>
          <w:szCs w:val="24"/>
        </w:rPr>
        <w:t>166</w:t>
      </w:r>
      <w:r w:rsidR="00FE4135">
        <w:rPr>
          <w:szCs w:val="24"/>
        </w:rPr>
        <w:t xml:space="preserve"> demandes </w:t>
      </w:r>
      <w:r w:rsidR="00FE4135" w:rsidRPr="00762CE5">
        <w:rPr>
          <w:szCs w:val="24"/>
        </w:rPr>
        <w:t>(7,9 %)</w:t>
      </w:r>
      <w:r w:rsidR="00FE4135">
        <w:rPr>
          <w:szCs w:val="24"/>
        </w:rPr>
        <w:t xml:space="preserve">. Non scolarisation à la rentrée de </w:t>
      </w:r>
      <w:r w:rsidR="00FE4135" w:rsidRPr="00762CE5">
        <w:rPr>
          <w:szCs w:val="24"/>
        </w:rPr>
        <w:t>90</w:t>
      </w:r>
      <w:r w:rsidR="00FE4135">
        <w:rPr>
          <w:szCs w:val="24"/>
        </w:rPr>
        <w:t xml:space="preserve"> élèves potentiellement boursiers </w:t>
      </w:r>
      <w:r w:rsidR="00FE4135" w:rsidRPr="00762CE5">
        <w:rPr>
          <w:szCs w:val="24"/>
        </w:rPr>
        <w:t>(4,3 %).</w:t>
      </w:r>
    </w:p>
    <w:p w:rsidR="00FE4135" w:rsidRDefault="00FE4135" w:rsidP="00FE4135">
      <w:pPr>
        <w:pStyle w:val="Corpsdetexte"/>
        <w:rPr>
          <w:szCs w:val="24"/>
        </w:rPr>
      </w:pPr>
    </w:p>
    <w:p w:rsidR="00FE4135" w:rsidRDefault="00FE4135" w:rsidP="00FE4135">
      <w:pPr>
        <w:pStyle w:val="Corpsdetexte"/>
        <w:rPr>
          <w:szCs w:val="24"/>
        </w:rPr>
      </w:pPr>
      <w:r w:rsidRPr="00762CE5">
        <w:rPr>
          <w:b/>
          <w:szCs w:val="24"/>
        </w:rPr>
        <w:t>Rythme Nord </w:t>
      </w:r>
      <w:r>
        <w:rPr>
          <w:szCs w:val="24"/>
        </w:rPr>
        <w:t xml:space="preserve">: </w:t>
      </w:r>
      <w:r w:rsidRPr="00A869A7">
        <w:rPr>
          <w:szCs w:val="24"/>
        </w:rPr>
        <w:t xml:space="preserve">Les premières CLB </w:t>
      </w:r>
      <w:r>
        <w:rPr>
          <w:szCs w:val="24"/>
        </w:rPr>
        <w:t>2012/2013</w:t>
      </w:r>
      <w:r w:rsidRPr="00A869A7">
        <w:rPr>
          <w:szCs w:val="24"/>
        </w:rPr>
        <w:t xml:space="preserve"> des pays du rythme </w:t>
      </w:r>
      <w:r>
        <w:rPr>
          <w:szCs w:val="24"/>
        </w:rPr>
        <w:t>nord</w:t>
      </w:r>
      <w:r w:rsidRPr="00A869A7">
        <w:rPr>
          <w:szCs w:val="24"/>
        </w:rPr>
        <w:t xml:space="preserve"> ont instruit </w:t>
      </w:r>
      <w:r>
        <w:rPr>
          <w:szCs w:val="24"/>
        </w:rPr>
        <w:t>25 851</w:t>
      </w:r>
      <w:r w:rsidRPr="00A869A7">
        <w:rPr>
          <w:szCs w:val="24"/>
        </w:rPr>
        <w:t xml:space="preserve"> demandes</w:t>
      </w:r>
      <w:r>
        <w:rPr>
          <w:szCs w:val="24"/>
        </w:rPr>
        <w:t xml:space="preserve"> (22 177 renouvellements et 3 674 premières demandes)</w:t>
      </w:r>
      <w:r w:rsidRPr="00A869A7">
        <w:rPr>
          <w:szCs w:val="24"/>
        </w:rPr>
        <w:t xml:space="preserve">. </w:t>
      </w:r>
      <w:r>
        <w:rPr>
          <w:szCs w:val="24"/>
        </w:rPr>
        <w:t>Elles en ont proposé favorablement 22 062    (85 %).</w:t>
      </w:r>
    </w:p>
    <w:p w:rsidR="00FE4135" w:rsidRDefault="00FE4135" w:rsidP="00FE4135">
      <w:pPr>
        <w:pStyle w:val="Corpsdetexte"/>
        <w:rPr>
          <w:szCs w:val="24"/>
        </w:rPr>
      </w:pPr>
    </w:p>
    <w:p w:rsidR="009024C5" w:rsidRPr="009024C5" w:rsidRDefault="00D86420" w:rsidP="009024C5">
      <w:pPr>
        <w:pStyle w:val="Corpsdetexte"/>
        <w:rPr>
          <w:szCs w:val="24"/>
        </w:rPr>
      </w:pPr>
      <w:r>
        <w:rPr>
          <w:szCs w:val="24"/>
          <w:u w:val="single"/>
        </w:rPr>
        <w:t xml:space="preserve">Propositions à la </w:t>
      </w:r>
      <w:r w:rsidR="009024C5" w:rsidRPr="00D86420">
        <w:rPr>
          <w:szCs w:val="24"/>
          <w:u w:val="single"/>
        </w:rPr>
        <w:t>CNB</w:t>
      </w:r>
      <w:r w:rsidR="009024C5" w:rsidRPr="009024C5">
        <w:rPr>
          <w:b/>
          <w:szCs w:val="24"/>
        </w:rPr>
        <w:t> </w:t>
      </w:r>
      <w:r w:rsidR="009024C5">
        <w:rPr>
          <w:szCs w:val="24"/>
        </w:rPr>
        <w:t xml:space="preserve"> </w:t>
      </w:r>
      <w:r w:rsidR="009024C5" w:rsidRPr="009024C5">
        <w:rPr>
          <w:szCs w:val="24"/>
        </w:rPr>
        <w:t>21 539</w:t>
      </w:r>
      <w:r w:rsidR="009024C5">
        <w:rPr>
          <w:szCs w:val="24"/>
        </w:rPr>
        <w:t xml:space="preserve"> bourses pour un montant de </w:t>
      </w:r>
      <w:r w:rsidR="009024C5" w:rsidRPr="009024C5">
        <w:rPr>
          <w:szCs w:val="24"/>
        </w:rPr>
        <w:t>82,34 M€</w:t>
      </w:r>
      <w:r w:rsidR="009024C5">
        <w:rPr>
          <w:szCs w:val="24"/>
        </w:rPr>
        <w:t xml:space="preserve"> ajourn</w:t>
      </w:r>
      <w:r w:rsidR="00762CE5">
        <w:rPr>
          <w:szCs w:val="24"/>
        </w:rPr>
        <w:t xml:space="preserve">ement de </w:t>
      </w:r>
      <w:r w:rsidR="009024C5" w:rsidRPr="009024C5">
        <w:rPr>
          <w:szCs w:val="24"/>
        </w:rPr>
        <w:t>1 024</w:t>
      </w:r>
      <w:r w:rsidR="009024C5" w:rsidRPr="006246BE">
        <w:rPr>
          <w:szCs w:val="24"/>
        </w:rPr>
        <w:t xml:space="preserve"> demandes </w:t>
      </w:r>
      <w:r w:rsidR="009024C5">
        <w:rPr>
          <w:szCs w:val="24"/>
        </w:rPr>
        <w:t xml:space="preserve">(4,1 %) </w:t>
      </w:r>
      <w:r w:rsidR="009024C5" w:rsidRPr="006246BE">
        <w:rPr>
          <w:szCs w:val="24"/>
        </w:rPr>
        <w:t>et rejet</w:t>
      </w:r>
      <w:r w:rsidR="00762CE5">
        <w:rPr>
          <w:szCs w:val="24"/>
        </w:rPr>
        <w:t xml:space="preserve"> de</w:t>
      </w:r>
      <w:r w:rsidR="009024C5" w:rsidRPr="006246BE">
        <w:rPr>
          <w:szCs w:val="24"/>
        </w:rPr>
        <w:t xml:space="preserve"> </w:t>
      </w:r>
      <w:r w:rsidR="009024C5" w:rsidRPr="009024C5">
        <w:rPr>
          <w:szCs w:val="24"/>
        </w:rPr>
        <w:t>2 464</w:t>
      </w:r>
      <w:r w:rsidR="009024C5" w:rsidRPr="006246BE">
        <w:rPr>
          <w:szCs w:val="24"/>
        </w:rPr>
        <w:t xml:space="preserve"> autres</w:t>
      </w:r>
      <w:r w:rsidR="009024C5">
        <w:rPr>
          <w:szCs w:val="24"/>
        </w:rPr>
        <w:t xml:space="preserve"> (9,8 %)</w:t>
      </w:r>
      <w:r w:rsidR="009024C5" w:rsidRPr="006246BE">
        <w:rPr>
          <w:szCs w:val="24"/>
        </w:rPr>
        <w:t>.</w:t>
      </w:r>
      <w:r w:rsidR="009024C5" w:rsidRPr="009024C5">
        <w:rPr>
          <w:szCs w:val="24"/>
        </w:rPr>
        <w:t xml:space="preserve"> </w:t>
      </w:r>
    </w:p>
    <w:p w:rsidR="009024C5" w:rsidRDefault="00762CE5" w:rsidP="009024C5">
      <w:pPr>
        <w:pStyle w:val="Corpsdetexte"/>
        <w:rPr>
          <w:szCs w:val="24"/>
        </w:rPr>
      </w:pPr>
      <w:r>
        <w:rPr>
          <w:szCs w:val="24"/>
        </w:rPr>
        <w:t>C</w:t>
      </w:r>
      <w:r w:rsidR="009024C5" w:rsidRPr="009978D5">
        <w:rPr>
          <w:szCs w:val="24"/>
        </w:rPr>
        <w:t xml:space="preserve">oût moyen par boursier </w:t>
      </w:r>
      <w:r w:rsidR="009024C5" w:rsidRPr="009024C5">
        <w:rPr>
          <w:szCs w:val="24"/>
        </w:rPr>
        <w:t>3 823 €,</w:t>
      </w:r>
      <w:r w:rsidR="009024C5">
        <w:rPr>
          <w:szCs w:val="24"/>
        </w:rPr>
        <w:t xml:space="preserve"> contre </w:t>
      </w:r>
      <w:r w:rsidR="009024C5" w:rsidRPr="009024C5">
        <w:rPr>
          <w:szCs w:val="24"/>
        </w:rPr>
        <w:t>3 490 €</w:t>
      </w:r>
      <w:r w:rsidR="009024C5">
        <w:rPr>
          <w:szCs w:val="24"/>
        </w:rPr>
        <w:t xml:space="preserve"> l’année précédente  </w:t>
      </w:r>
      <w:r w:rsidR="009024C5" w:rsidRPr="009024C5">
        <w:rPr>
          <w:szCs w:val="24"/>
        </w:rPr>
        <w:t>(+ 9,5 %).</w:t>
      </w:r>
    </w:p>
    <w:p w:rsidR="00561571" w:rsidRDefault="00561571" w:rsidP="00561571">
      <w:pPr>
        <w:pStyle w:val="Corpsdetexte"/>
        <w:ind w:left="284"/>
        <w:rPr>
          <w:szCs w:val="24"/>
        </w:rPr>
      </w:pPr>
    </w:p>
    <w:p w:rsidR="00561571" w:rsidRPr="009978D5" w:rsidRDefault="00561571" w:rsidP="0056157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24"/>
        </w:rPr>
      </w:pPr>
      <w:r w:rsidRPr="009978D5">
        <w:rPr>
          <w:szCs w:val="24"/>
        </w:rPr>
        <w:t>Sur cette base, on constate par rapport à la même époque l'an dernier une hausse du nombre de boursiers</w:t>
      </w:r>
      <w:r>
        <w:rPr>
          <w:szCs w:val="24"/>
        </w:rPr>
        <w:t xml:space="preserve"> de </w:t>
      </w:r>
      <w:r w:rsidRPr="002E6F2D">
        <w:rPr>
          <w:b/>
          <w:szCs w:val="24"/>
        </w:rPr>
        <w:t>7,8 %</w:t>
      </w:r>
      <w:r w:rsidRPr="009978D5">
        <w:rPr>
          <w:szCs w:val="24"/>
        </w:rPr>
        <w:t xml:space="preserve"> et une augmentation du montant des bourses accordées </w:t>
      </w:r>
      <w:r>
        <w:rPr>
          <w:szCs w:val="24"/>
        </w:rPr>
        <w:t xml:space="preserve">de </w:t>
      </w:r>
      <w:r w:rsidRPr="00F14BF1">
        <w:rPr>
          <w:b/>
          <w:szCs w:val="24"/>
        </w:rPr>
        <w:t>18,</w:t>
      </w:r>
      <w:r>
        <w:rPr>
          <w:b/>
          <w:szCs w:val="24"/>
        </w:rPr>
        <w:t>1</w:t>
      </w:r>
      <w:r w:rsidRPr="00F14BF1">
        <w:rPr>
          <w:b/>
          <w:szCs w:val="24"/>
        </w:rPr>
        <w:t xml:space="preserve"> </w:t>
      </w:r>
      <w:r w:rsidRPr="00F14BF1">
        <w:rPr>
          <w:b/>
          <w:bCs/>
          <w:szCs w:val="24"/>
        </w:rPr>
        <w:t>%</w:t>
      </w:r>
      <w:r w:rsidRPr="00F14BF1">
        <w:rPr>
          <w:b/>
          <w:szCs w:val="24"/>
        </w:rPr>
        <w:t>.</w:t>
      </w:r>
    </w:p>
    <w:p w:rsidR="00561571" w:rsidRPr="009024C5" w:rsidRDefault="00561571" w:rsidP="009024C5">
      <w:pPr>
        <w:pStyle w:val="Corpsdetexte"/>
        <w:rPr>
          <w:szCs w:val="24"/>
        </w:rPr>
      </w:pPr>
    </w:p>
    <w:p w:rsidR="002C5517" w:rsidRDefault="002C5517" w:rsidP="00561571">
      <w:pPr>
        <w:pStyle w:val="Corpsdetexte3"/>
        <w:jc w:val="left"/>
        <w:rPr>
          <w:rFonts w:ascii="Calibri" w:hAnsi="Calibri"/>
          <w:b/>
          <w:iCs/>
          <w:highlight w:val="yellow"/>
        </w:rPr>
      </w:pPr>
    </w:p>
    <w:p w:rsidR="002C5517" w:rsidRPr="00242B77" w:rsidRDefault="002C5517" w:rsidP="002C5517">
      <w:pPr>
        <w:pStyle w:val="Corpsdetexte3"/>
        <w:ind w:left="720"/>
        <w:rPr>
          <w:b/>
          <w:sz w:val="28"/>
        </w:rPr>
      </w:pPr>
      <w:r w:rsidRPr="00242B77">
        <w:rPr>
          <w:b/>
          <w:sz w:val="28"/>
        </w:rPr>
        <w:t xml:space="preserve">III </w:t>
      </w:r>
      <w:r w:rsidR="00D86420">
        <w:rPr>
          <w:b/>
          <w:sz w:val="28"/>
        </w:rPr>
        <w:t>–</w:t>
      </w:r>
      <w:r w:rsidRPr="00242B77">
        <w:rPr>
          <w:b/>
          <w:sz w:val="28"/>
        </w:rPr>
        <w:t xml:space="preserve"> </w:t>
      </w:r>
      <w:r w:rsidR="00D86420">
        <w:rPr>
          <w:b/>
          <w:sz w:val="28"/>
        </w:rPr>
        <w:t>Attributions par</w:t>
      </w:r>
      <w:r w:rsidRPr="00242B77">
        <w:rPr>
          <w:b/>
          <w:sz w:val="28"/>
        </w:rPr>
        <w:t xml:space="preserve"> la commission </w:t>
      </w:r>
      <w:r w:rsidR="00D86420">
        <w:rPr>
          <w:b/>
          <w:sz w:val="28"/>
        </w:rPr>
        <w:t xml:space="preserve">nationale </w:t>
      </w:r>
      <w:r w:rsidRPr="00242B77">
        <w:rPr>
          <w:b/>
          <w:sz w:val="28"/>
        </w:rPr>
        <w:t xml:space="preserve">des </w:t>
      </w:r>
      <w:r w:rsidR="00762CE5">
        <w:rPr>
          <w:b/>
          <w:sz w:val="28"/>
        </w:rPr>
        <w:t>20 et 21</w:t>
      </w:r>
      <w:r w:rsidRPr="00242B77">
        <w:rPr>
          <w:b/>
          <w:sz w:val="28"/>
        </w:rPr>
        <w:t xml:space="preserve"> </w:t>
      </w:r>
      <w:r>
        <w:rPr>
          <w:b/>
          <w:sz w:val="28"/>
        </w:rPr>
        <w:t>juin</w:t>
      </w:r>
      <w:r w:rsidRPr="00242B77">
        <w:rPr>
          <w:b/>
          <w:sz w:val="28"/>
        </w:rPr>
        <w:t xml:space="preserve"> 20</w:t>
      </w:r>
      <w:r>
        <w:rPr>
          <w:b/>
          <w:sz w:val="28"/>
        </w:rPr>
        <w:t>11</w:t>
      </w:r>
    </w:p>
    <w:p w:rsidR="002C5517" w:rsidRDefault="002C5517" w:rsidP="002C5517">
      <w:pPr>
        <w:pStyle w:val="Corpsdetexte3"/>
        <w:jc w:val="both"/>
        <w:rPr>
          <w:rFonts w:ascii="Calibri" w:hAnsi="Calibri"/>
          <w:b/>
          <w:sz w:val="20"/>
        </w:rPr>
      </w:pPr>
    </w:p>
    <w:p w:rsidR="002C5517" w:rsidRPr="00051CF4" w:rsidRDefault="002C5517" w:rsidP="002C5517">
      <w:pPr>
        <w:pStyle w:val="Corpsdetexte3"/>
        <w:jc w:val="both"/>
        <w:rPr>
          <w:rFonts w:ascii="Calibri" w:hAnsi="Calibri"/>
          <w:b/>
          <w:sz w:val="20"/>
        </w:rPr>
      </w:pPr>
    </w:p>
    <w:tbl>
      <w:tblPr>
        <w:tblW w:w="10105" w:type="dxa"/>
        <w:jc w:val="center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2"/>
        <w:gridCol w:w="709"/>
        <w:gridCol w:w="993"/>
        <w:gridCol w:w="1275"/>
        <w:gridCol w:w="1276"/>
        <w:gridCol w:w="850"/>
        <w:gridCol w:w="1276"/>
        <w:gridCol w:w="1224"/>
      </w:tblGrid>
      <w:tr w:rsidR="002C5517" w:rsidRPr="00051CF4">
        <w:trPr>
          <w:jc w:val="center"/>
        </w:trPr>
        <w:tc>
          <w:tcPr>
            <w:tcW w:w="2502" w:type="dxa"/>
          </w:tcPr>
          <w:p w:rsidR="002C5517" w:rsidRPr="00067791" w:rsidRDefault="002C5517" w:rsidP="002C5517">
            <w:pPr>
              <w:pStyle w:val="Titre2"/>
              <w:jc w:val="center"/>
              <w:rPr>
                <w:rFonts w:ascii="Calibri" w:hAnsi="Calibri"/>
                <w:sz w:val="20"/>
              </w:rPr>
            </w:pPr>
            <w:r w:rsidRPr="00067791">
              <w:rPr>
                <w:rFonts w:ascii="Calibri" w:hAnsi="Calibri"/>
                <w:sz w:val="20"/>
              </w:rPr>
              <w:t>Secteur géographique</w:t>
            </w:r>
          </w:p>
        </w:tc>
        <w:tc>
          <w:tcPr>
            <w:tcW w:w="709" w:type="dxa"/>
          </w:tcPr>
          <w:p w:rsidR="002C5517" w:rsidRPr="00067791" w:rsidRDefault="002C5517" w:rsidP="002C5517">
            <w:pPr>
              <w:pStyle w:val="Titre1"/>
              <w:jc w:val="center"/>
              <w:rPr>
                <w:rFonts w:ascii="Calibri" w:hAnsi="Calibri"/>
                <w:b/>
                <w:sz w:val="20"/>
              </w:rPr>
            </w:pPr>
            <w:r w:rsidRPr="00067791">
              <w:rPr>
                <w:rFonts w:ascii="Calibri" w:hAnsi="Calibri"/>
                <w:b/>
                <w:sz w:val="20"/>
              </w:rPr>
              <w:t>Nb postes</w:t>
            </w:r>
          </w:p>
        </w:tc>
        <w:tc>
          <w:tcPr>
            <w:tcW w:w="993" w:type="dxa"/>
          </w:tcPr>
          <w:p w:rsidR="002C5517" w:rsidRPr="00067791" w:rsidRDefault="002C5517" w:rsidP="002C5517">
            <w:pPr>
              <w:pStyle w:val="Titre1"/>
              <w:jc w:val="center"/>
              <w:rPr>
                <w:rFonts w:ascii="Calibri" w:hAnsi="Calibri"/>
                <w:b/>
                <w:sz w:val="20"/>
              </w:rPr>
            </w:pPr>
            <w:r w:rsidRPr="00067791">
              <w:rPr>
                <w:rFonts w:ascii="Calibri" w:hAnsi="Calibri"/>
                <w:b/>
                <w:sz w:val="20"/>
              </w:rPr>
              <w:t>Nb boursiers</w:t>
            </w:r>
          </w:p>
        </w:tc>
        <w:tc>
          <w:tcPr>
            <w:tcW w:w="1275" w:type="dxa"/>
          </w:tcPr>
          <w:p w:rsidR="002C5517" w:rsidRPr="00067791" w:rsidRDefault="002C5517" w:rsidP="002C5517">
            <w:pPr>
              <w:pStyle w:val="Titre1"/>
              <w:tabs>
                <w:tab w:val="left" w:pos="425"/>
              </w:tabs>
              <w:jc w:val="center"/>
              <w:rPr>
                <w:rFonts w:ascii="Calibri" w:hAnsi="Calibri"/>
                <w:b/>
                <w:sz w:val="20"/>
              </w:rPr>
            </w:pPr>
            <w:r w:rsidRPr="00067791">
              <w:rPr>
                <w:rFonts w:ascii="Calibri" w:hAnsi="Calibri"/>
                <w:b/>
                <w:sz w:val="20"/>
              </w:rPr>
              <w:t>Montant en M€</w:t>
            </w:r>
          </w:p>
        </w:tc>
        <w:tc>
          <w:tcPr>
            <w:tcW w:w="1276" w:type="dxa"/>
          </w:tcPr>
          <w:p w:rsidR="002C5517" w:rsidRPr="00067791" w:rsidRDefault="002C5517" w:rsidP="002C5517">
            <w:pPr>
              <w:pStyle w:val="Titre1"/>
              <w:tabs>
                <w:tab w:val="left" w:pos="425"/>
              </w:tabs>
              <w:jc w:val="center"/>
              <w:rPr>
                <w:rFonts w:ascii="Calibri" w:hAnsi="Calibri"/>
                <w:b/>
                <w:sz w:val="20"/>
              </w:rPr>
            </w:pPr>
            <w:r w:rsidRPr="00067791">
              <w:rPr>
                <w:rFonts w:ascii="Calibri" w:hAnsi="Calibri"/>
                <w:b/>
                <w:sz w:val="20"/>
              </w:rPr>
              <w:t>Coût moyen /boursier</w:t>
            </w:r>
          </w:p>
        </w:tc>
        <w:tc>
          <w:tcPr>
            <w:tcW w:w="850" w:type="dxa"/>
          </w:tcPr>
          <w:p w:rsidR="002C5517" w:rsidRPr="00067791" w:rsidRDefault="002C5517" w:rsidP="002C5517">
            <w:pPr>
              <w:pStyle w:val="Titre1"/>
              <w:tabs>
                <w:tab w:val="left" w:pos="425"/>
              </w:tabs>
              <w:jc w:val="center"/>
              <w:rPr>
                <w:rFonts w:ascii="Calibri" w:hAnsi="Calibri"/>
                <w:b/>
                <w:i/>
                <w:sz w:val="20"/>
              </w:rPr>
            </w:pPr>
            <w:r w:rsidRPr="00067791">
              <w:rPr>
                <w:rFonts w:ascii="Calibri" w:hAnsi="Calibri"/>
                <w:b/>
                <w:i/>
                <w:sz w:val="20"/>
              </w:rPr>
              <w:t>Nb PEC</w:t>
            </w:r>
          </w:p>
        </w:tc>
        <w:tc>
          <w:tcPr>
            <w:tcW w:w="1276" w:type="dxa"/>
          </w:tcPr>
          <w:p w:rsidR="002C5517" w:rsidRPr="00067791" w:rsidRDefault="002C5517" w:rsidP="002C5517">
            <w:pPr>
              <w:pStyle w:val="Titre1"/>
              <w:tabs>
                <w:tab w:val="left" w:pos="425"/>
              </w:tabs>
              <w:jc w:val="center"/>
              <w:rPr>
                <w:rFonts w:ascii="Calibri" w:hAnsi="Calibri"/>
                <w:b/>
                <w:i/>
                <w:sz w:val="20"/>
              </w:rPr>
            </w:pPr>
            <w:r w:rsidRPr="00067791">
              <w:rPr>
                <w:rFonts w:ascii="Calibri" w:hAnsi="Calibri"/>
                <w:b/>
                <w:i/>
                <w:sz w:val="20"/>
              </w:rPr>
              <w:t>Montant en M€</w:t>
            </w:r>
          </w:p>
        </w:tc>
        <w:tc>
          <w:tcPr>
            <w:tcW w:w="1224" w:type="dxa"/>
          </w:tcPr>
          <w:p w:rsidR="002C5517" w:rsidRPr="00067791" w:rsidRDefault="002C5517" w:rsidP="002C5517">
            <w:pPr>
              <w:pStyle w:val="Titre1"/>
              <w:tabs>
                <w:tab w:val="left" w:pos="425"/>
              </w:tabs>
              <w:jc w:val="center"/>
              <w:rPr>
                <w:rFonts w:ascii="Calibri" w:hAnsi="Calibri"/>
                <w:b/>
                <w:i/>
                <w:sz w:val="20"/>
              </w:rPr>
            </w:pPr>
            <w:r w:rsidRPr="00067791">
              <w:rPr>
                <w:rFonts w:ascii="Calibri" w:hAnsi="Calibri"/>
                <w:b/>
                <w:i/>
                <w:sz w:val="20"/>
              </w:rPr>
              <w:t>Coût moyen /PEC</w:t>
            </w:r>
          </w:p>
        </w:tc>
      </w:tr>
      <w:tr w:rsidR="002C5517" w:rsidRPr="00051CF4">
        <w:trPr>
          <w:trHeight w:val="270"/>
          <w:jc w:val="center"/>
        </w:trPr>
        <w:tc>
          <w:tcPr>
            <w:tcW w:w="2502" w:type="dxa"/>
          </w:tcPr>
          <w:p w:rsidR="002C5517" w:rsidRPr="00067791" w:rsidRDefault="002C5517" w:rsidP="002C5517">
            <w:pPr>
              <w:rPr>
                <w:rFonts w:ascii="Calibri" w:hAnsi="Calibri"/>
                <w:b/>
              </w:rPr>
            </w:pPr>
            <w:r w:rsidRPr="00067791">
              <w:rPr>
                <w:rFonts w:ascii="Calibri" w:hAnsi="Calibri"/>
                <w:b/>
              </w:rPr>
              <w:t>Asie</w:t>
            </w:r>
          </w:p>
        </w:tc>
        <w:tc>
          <w:tcPr>
            <w:tcW w:w="709" w:type="dxa"/>
          </w:tcPr>
          <w:p w:rsidR="002C5517" w:rsidRPr="00A31D15" w:rsidRDefault="00762CE5" w:rsidP="002C551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993" w:type="dxa"/>
          </w:tcPr>
          <w:p w:rsidR="002C5517" w:rsidRPr="00A31D15" w:rsidRDefault="002C5517" w:rsidP="00762CE5">
            <w:pPr>
              <w:jc w:val="center"/>
              <w:rPr>
                <w:rFonts w:ascii="Calibri" w:hAnsi="Calibri"/>
              </w:rPr>
            </w:pPr>
            <w:r w:rsidRPr="00A31D15">
              <w:rPr>
                <w:rFonts w:ascii="Calibri" w:hAnsi="Calibri"/>
              </w:rPr>
              <w:t>1 </w:t>
            </w:r>
            <w:r w:rsidR="00762CE5">
              <w:rPr>
                <w:rFonts w:ascii="Calibri" w:hAnsi="Calibri"/>
              </w:rPr>
              <w:t>873</w:t>
            </w:r>
          </w:p>
        </w:tc>
        <w:tc>
          <w:tcPr>
            <w:tcW w:w="1275" w:type="dxa"/>
          </w:tcPr>
          <w:p w:rsidR="002C5517" w:rsidRPr="00A31D15" w:rsidRDefault="00762CE5" w:rsidP="002C5517">
            <w:pPr>
              <w:tabs>
                <w:tab w:val="decimal" w:pos="555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8,71</w:t>
            </w:r>
            <w:r w:rsidR="002C5517">
              <w:rPr>
                <w:rFonts w:ascii="Calibri" w:hAnsi="Calibri"/>
              </w:rPr>
              <w:t xml:space="preserve"> </w:t>
            </w:r>
            <w:r w:rsidR="002C5517" w:rsidRPr="00A31D15">
              <w:rPr>
                <w:rFonts w:ascii="Calibri" w:hAnsi="Calibri"/>
              </w:rPr>
              <w:t>M€</w:t>
            </w:r>
          </w:p>
        </w:tc>
        <w:tc>
          <w:tcPr>
            <w:tcW w:w="1276" w:type="dxa"/>
          </w:tcPr>
          <w:p w:rsidR="002C5517" w:rsidRPr="00A31D15" w:rsidRDefault="002C5517" w:rsidP="00762CE5">
            <w:pPr>
              <w:tabs>
                <w:tab w:val="decimal" w:pos="555"/>
              </w:tabs>
              <w:jc w:val="center"/>
              <w:rPr>
                <w:rFonts w:ascii="Calibri" w:hAnsi="Calibri"/>
              </w:rPr>
            </w:pPr>
            <w:r w:rsidRPr="00A31D15">
              <w:rPr>
                <w:rFonts w:ascii="Calibri" w:hAnsi="Calibri"/>
              </w:rPr>
              <w:t>4 </w:t>
            </w:r>
            <w:r w:rsidR="00762CE5">
              <w:rPr>
                <w:rFonts w:ascii="Calibri" w:hAnsi="Calibri"/>
              </w:rPr>
              <w:t>651</w:t>
            </w:r>
            <w:r w:rsidRPr="00A31D15">
              <w:rPr>
                <w:rFonts w:ascii="Calibri" w:hAnsi="Calibri"/>
              </w:rPr>
              <w:t xml:space="preserve"> €</w:t>
            </w:r>
          </w:p>
        </w:tc>
        <w:tc>
          <w:tcPr>
            <w:tcW w:w="850" w:type="dxa"/>
          </w:tcPr>
          <w:p w:rsidR="002C5517" w:rsidRPr="00A31D15" w:rsidRDefault="002C5517" w:rsidP="002C5517">
            <w:pPr>
              <w:tabs>
                <w:tab w:val="decimal" w:pos="555"/>
              </w:tabs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2C5517" w:rsidRPr="00A31D15" w:rsidRDefault="002C5517">
            <w:pPr>
              <w:tabs>
                <w:tab w:val="decimal" w:pos="555"/>
              </w:tabs>
              <w:rPr>
                <w:rFonts w:ascii="Calibri" w:hAnsi="Calibri"/>
              </w:rPr>
            </w:pPr>
          </w:p>
        </w:tc>
        <w:tc>
          <w:tcPr>
            <w:tcW w:w="1224" w:type="dxa"/>
          </w:tcPr>
          <w:p w:rsidR="002C5517" w:rsidRPr="00A31D15" w:rsidRDefault="002C5517" w:rsidP="002C5517">
            <w:pPr>
              <w:jc w:val="center"/>
              <w:rPr>
                <w:rFonts w:ascii="Calibri" w:hAnsi="Calibri"/>
              </w:rPr>
            </w:pPr>
          </w:p>
        </w:tc>
      </w:tr>
      <w:tr w:rsidR="002C5517" w:rsidRPr="00051CF4">
        <w:trPr>
          <w:trHeight w:val="270"/>
          <w:jc w:val="center"/>
        </w:trPr>
        <w:tc>
          <w:tcPr>
            <w:tcW w:w="2502" w:type="dxa"/>
          </w:tcPr>
          <w:p w:rsidR="002C5517" w:rsidRPr="00067791" w:rsidRDefault="002C5517" w:rsidP="002C5517">
            <w:pPr>
              <w:rPr>
                <w:rFonts w:ascii="Calibri" w:hAnsi="Calibri"/>
                <w:b/>
              </w:rPr>
            </w:pPr>
            <w:r w:rsidRPr="00067791">
              <w:rPr>
                <w:rFonts w:ascii="Calibri" w:hAnsi="Calibri"/>
                <w:b/>
              </w:rPr>
              <w:t>Moyen Orient</w:t>
            </w:r>
          </w:p>
        </w:tc>
        <w:tc>
          <w:tcPr>
            <w:tcW w:w="709" w:type="dxa"/>
          </w:tcPr>
          <w:p w:rsidR="002C5517" w:rsidRPr="00A31D15" w:rsidRDefault="002C5517" w:rsidP="0056301F">
            <w:pPr>
              <w:jc w:val="center"/>
              <w:rPr>
                <w:rFonts w:ascii="Calibri" w:hAnsi="Calibri"/>
              </w:rPr>
            </w:pPr>
            <w:r w:rsidRPr="00A31D15">
              <w:rPr>
                <w:rFonts w:ascii="Calibri" w:hAnsi="Calibri"/>
              </w:rPr>
              <w:t>1</w:t>
            </w:r>
            <w:r w:rsidR="0056301F">
              <w:rPr>
                <w:rFonts w:ascii="Calibri" w:hAnsi="Calibri"/>
              </w:rPr>
              <w:t>3</w:t>
            </w:r>
          </w:p>
        </w:tc>
        <w:tc>
          <w:tcPr>
            <w:tcW w:w="993" w:type="dxa"/>
          </w:tcPr>
          <w:p w:rsidR="002C5517" w:rsidRPr="00A31D15" w:rsidRDefault="002C5517" w:rsidP="0056301F">
            <w:pPr>
              <w:jc w:val="center"/>
              <w:rPr>
                <w:rFonts w:ascii="Calibri" w:hAnsi="Calibri"/>
              </w:rPr>
            </w:pPr>
            <w:r w:rsidRPr="00A31D15">
              <w:rPr>
                <w:rFonts w:ascii="Calibri" w:hAnsi="Calibri"/>
              </w:rPr>
              <w:t>1 </w:t>
            </w:r>
            <w:r w:rsidR="0056301F">
              <w:rPr>
                <w:rFonts w:ascii="Calibri" w:hAnsi="Calibri"/>
              </w:rPr>
              <w:t>329</w:t>
            </w:r>
          </w:p>
        </w:tc>
        <w:tc>
          <w:tcPr>
            <w:tcW w:w="1275" w:type="dxa"/>
          </w:tcPr>
          <w:p w:rsidR="002C5517" w:rsidRPr="00A31D15" w:rsidRDefault="002C5517" w:rsidP="0056301F">
            <w:pPr>
              <w:tabs>
                <w:tab w:val="decimal" w:pos="555"/>
              </w:tabs>
              <w:rPr>
                <w:rFonts w:ascii="Calibri" w:hAnsi="Calibri"/>
              </w:rPr>
            </w:pPr>
            <w:r w:rsidRPr="00A31D15">
              <w:rPr>
                <w:rFonts w:ascii="Calibri" w:hAnsi="Calibri"/>
              </w:rPr>
              <w:t>4,2</w:t>
            </w:r>
            <w:r w:rsidR="0056301F">
              <w:rPr>
                <w:rFonts w:ascii="Calibri" w:hAnsi="Calibri"/>
              </w:rPr>
              <w:t>8</w:t>
            </w:r>
            <w:r>
              <w:rPr>
                <w:rFonts w:ascii="Calibri" w:hAnsi="Calibri"/>
              </w:rPr>
              <w:t xml:space="preserve"> </w:t>
            </w:r>
            <w:r w:rsidRPr="00A31D15">
              <w:rPr>
                <w:rFonts w:ascii="Calibri" w:hAnsi="Calibri"/>
              </w:rPr>
              <w:t>M€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276" w:type="dxa"/>
          </w:tcPr>
          <w:p w:rsidR="002C5517" w:rsidRPr="00A31D15" w:rsidRDefault="0056301F" w:rsidP="002C5517">
            <w:pPr>
              <w:tabs>
                <w:tab w:val="decimal" w:pos="5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3218</w:t>
            </w:r>
            <w:r w:rsidR="002C5517" w:rsidRPr="00A31D15">
              <w:rPr>
                <w:rFonts w:ascii="Calibri" w:hAnsi="Calibri"/>
              </w:rPr>
              <w:t xml:space="preserve"> €</w:t>
            </w:r>
          </w:p>
        </w:tc>
        <w:tc>
          <w:tcPr>
            <w:tcW w:w="850" w:type="dxa"/>
          </w:tcPr>
          <w:p w:rsidR="002C5517" w:rsidRPr="00A31D15" w:rsidRDefault="002C5517">
            <w:pPr>
              <w:tabs>
                <w:tab w:val="decimal" w:pos="555"/>
              </w:tabs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2C5517" w:rsidRPr="00A31D15" w:rsidRDefault="002C5517" w:rsidP="002C5517">
            <w:pPr>
              <w:tabs>
                <w:tab w:val="decimal" w:pos="555"/>
              </w:tabs>
              <w:rPr>
                <w:rFonts w:ascii="Calibri" w:hAnsi="Calibri"/>
              </w:rPr>
            </w:pPr>
          </w:p>
        </w:tc>
        <w:tc>
          <w:tcPr>
            <w:tcW w:w="1224" w:type="dxa"/>
          </w:tcPr>
          <w:p w:rsidR="002C5517" w:rsidRPr="00A31D15" w:rsidRDefault="002C5517" w:rsidP="002C5517">
            <w:pPr>
              <w:jc w:val="center"/>
              <w:rPr>
                <w:rFonts w:ascii="Calibri" w:hAnsi="Calibri"/>
              </w:rPr>
            </w:pPr>
          </w:p>
        </w:tc>
      </w:tr>
      <w:tr w:rsidR="002C5517" w:rsidRPr="00051CF4">
        <w:trPr>
          <w:trHeight w:val="270"/>
          <w:jc w:val="center"/>
        </w:trPr>
        <w:tc>
          <w:tcPr>
            <w:tcW w:w="2502" w:type="dxa"/>
          </w:tcPr>
          <w:p w:rsidR="002C5517" w:rsidRPr="00067791" w:rsidRDefault="002C5517" w:rsidP="002C5517">
            <w:pPr>
              <w:rPr>
                <w:rFonts w:ascii="Calibri" w:hAnsi="Calibri"/>
                <w:b/>
              </w:rPr>
            </w:pPr>
            <w:r w:rsidRPr="00067791">
              <w:rPr>
                <w:rFonts w:ascii="Calibri" w:hAnsi="Calibri"/>
                <w:b/>
              </w:rPr>
              <w:t>Europe</w:t>
            </w:r>
          </w:p>
        </w:tc>
        <w:tc>
          <w:tcPr>
            <w:tcW w:w="709" w:type="dxa"/>
          </w:tcPr>
          <w:p w:rsidR="002C5517" w:rsidRPr="00A31D15" w:rsidRDefault="005630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39</w:t>
            </w:r>
          </w:p>
        </w:tc>
        <w:tc>
          <w:tcPr>
            <w:tcW w:w="993" w:type="dxa"/>
          </w:tcPr>
          <w:p w:rsidR="002C5517" w:rsidRPr="00A31D15" w:rsidRDefault="002C5517" w:rsidP="0056301F">
            <w:pPr>
              <w:jc w:val="center"/>
              <w:rPr>
                <w:rFonts w:ascii="Calibri" w:hAnsi="Calibri"/>
              </w:rPr>
            </w:pPr>
            <w:r w:rsidRPr="00A31D15">
              <w:rPr>
                <w:rFonts w:ascii="Calibri" w:hAnsi="Calibri"/>
              </w:rPr>
              <w:t>4 </w:t>
            </w:r>
            <w:r w:rsidR="0056301F">
              <w:rPr>
                <w:rFonts w:ascii="Calibri" w:hAnsi="Calibri"/>
              </w:rPr>
              <w:t>854</w:t>
            </w:r>
          </w:p>
        </w:tc>
        <w:tc>
          <w:tcPr>
            <w:tcW w:w="1275" w:type="dxa"/>
          </w:tcPr>
          <w:p w:rsidR="002C5517" w:rsidRPr="00A31D15" w:rsidRDefault="0056301F" w:rsidP="002C5517">
            <w:pPr>
              <w:tabs>
                <w:tab w:val="decimal" w:pos="555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22,56</w:t>
            </w:r>
            <w:r w:rsidR="002C5517">
              <w:rPr>
                <w:rFonts w:ascii="Calibri" w:hAnsi="Calibri"/>
              </w:rPr>
              <w:t xml:space="preserve"> </w:t>
            </w:r>
            <w:r w:rsidR="002C5517" w:rsidRPr="00A31D15">
              <w:rPr>
                <w:rFonts w:ascii="Calibri" w:hAnsi="Calibri"/>
              </w:rPr>
              <w:t>M€</w:t>
            </w:r>
          </w:p>
        </w:tc>
        <w:tc>
          <w:tcPr>
            <w:tcW w:w="1276" w:type="dxa"/>
          </w:tcPr>
          <w:p w:rsidR="002C5517" w:rsidRPr="00A31D15" w:rsidRDefault="0056301F" w:rsidP="002C5517">
            <w:pPr>
              <w:tabs>
                <w:tab w:val="decimal" w:pos="5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4 648</w:t>
            </w:r>
            <w:r w:rsidR="002C5517" w:rsidRPr="00A31D15">
              <w:rPr>
                <w:rFonts w:ascii="Calibri" w:hAnsi="Calibri"/>
              </w:rPr>
              <w:t xml:space="preserve"> €</w:t>
            </w:r>
          </w:p>
        </w:tc>
        <w:tc>
          <w:tcPr>
            <w:tcW w:w="850" w:type="dxa"/>
          </w:tcPr>
          <w:p w:rsidR="002C5517" w:rsidRPr="00A31D15" w:rsidRDefault="002C5517" w:rsidP="002C5517">
            <w:pPr>
              <w:tabs>
                <w:tab w:val="decimal" w:pos="555"/>
              </w:tabs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2C5517" w:rsidRPr="00A31D15" w:rsidRDefault="002C5517" w:rsidP="002C5517">
            <w:pPr>
              <w:tabs>
                <w:tab w:val="decimal" w:pos="555"/>
              </w:tabs>
              <w:rPr>
                <w:rFonts w:ascii="Calibri" w:hAnsi="Calibri"/>
              </w:rPr>
            </w:pPr>
          </w:p>
        </w:tc>
        <w:tc>
          <w:tcPr>
            <w:tcW w:w="1224" w:type="dxa"/>
          </w:tcPr>
          <w:p w:rsidR="002C5517" w:rsidRPr="00A31D15" w:rsidRDefault="002C5517" w:rsidP="002C5517">
            <w:pPr>
              <w:jc w:val="center"/>
              <w:rPr>
                <w:rFonts w:ascii="Calibri" w:hAnsi="Calibri"/>
              </w:rPr>
            </w:pPr>
          </w:p>
        </w:tc>
      </w:tr>
      <w:tr w:rsidR="002C5517" w:rsidRPr="00051CF4">
        <w:trPr>
          <w:trHeight w:val="270"/>
          <w:jc w:val="center"/>
        </w:trPr>
        <w:tc>
          <w:tcPr>
            <w:tcW w:w="2502" w:type="dxa"/>
          </w:tcPr>
          <w:p w:rsidR="002C5517" w:rsidRPr="00067791" w:rsidRDefault="002C5517" w:rsidP="002C5517">
            <w:pPr>
              <w:rPr>
                <w:rFonts w:ascii="Calibri" w:hAnsi="Calibri"/>
                <w:b/>
              </w:rPr>
            </w:pPr>
            <w:r w:rsidRPr="00067791">
              <w:rPr>
                <w:rFonts w:ascii="Calibri" w:hAnsi="Calibri"/>
                <w:b/>
              </w:rPr>
              <w:t xml:space="preserve">Afrique </w:t>
            </w:r>
          </w:p>
        </w:tc>
        <w:tc>
          <w:tcPr>
            <w:tcW w:w="709" w:type="dxa"/>
          </w:tcPr>
          <w:p w:rsidR="002C5517" w:rsidRPr="00A31D15" w:rsidRDefault="0056301F" w:rsidP="002C551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</w:t>
            </w:r>
          </w:p>
        </w:tc>
        <w:tc>
          <w:tcPr>
            <w:tcW w:w="993" w:type="dxa"/>
          </w:tcPr>
          <w:p w:rsidR="002C5517" w:rsidRPr="00A31D15" w:rsidRDefault="0056301F" w:rsidP="002C551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7 825</w:t>
            </w:r>
          </w:p>
        </w:tc>
        <w:tc>
          <w:tcPr>
            <w:tcW w:w="1275" w:type="dxa"/>
          </w:tcPr>
          <w:p w:rsidR="002C5517" w:rsidRPr="00A31D15" w:rsidRDefault="0056301F" w:rsidP="002C5517">
            <w:pPr>
              <w:tabs>
                <w:tab w:val="decimal" w:pos="555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21,28</w:t>
            </w:r>
            <w:r w:rsidR="002C5517">
              <w:rPr>
                <w:rFonts w:ascii="Calibri" w:hAnsi="Calibri"/>
              </w:rPr>
              <w:t xml:space="preserve"> </w:t>
            </w:r>
            <w:r w:rsidR="002C5517" w:rsidRPr="00A31D15">
              <w:rPr>
                <w:rFonts w:ascii="Calibri" w:hAnsi="Calibri"/>
              </w:rPr>
              <w:t>M€</w:t>
            </w:r>
          </w:p>
        </w:tc>
        <w:tc>
          <w:tcPr>
            <w:tcW w:w="1276" w:type="dxa"/>
          </w:tcPr>
          <w:p w:rsidR="002C5517" w:rsidRPr="00A31D15" w:rsidRDefault="0056301F" w:rsidP="002C5517">
            <w:pPr>
              <w:tabs>
                <w:tab w:val="decimal" w:pos="5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2 719€</w:t>
            </w:r>
          </w:p>
        </w:tc>
        <w:tc>
          <w:tcPr>
            <w:tcW w:w="850" w:type="dxa"/>
          </w:tcPr>
          <w:p w:rsidR="002C5517" w:rsidRPr="00A31D15" w:rsidRDefault="002C5517" w:rsidP="002C5517">
            <w:pPr>
              <w:tabs>
                <w:tab w:val="decimal" w:pos="555"/>
              </w:tabs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2C5517" w:rsidRPr="00A31D15" w:rsidRDefault="002C5517" w:rsidP="002C5517">
            <w:pPr>
              <w:tabs>
                <w:tab w:val="decimal" w:pos="555"/>
              </w:tabs>
              <w:rPr>
                <w:rFonts w:ascii="Calibri" w:hAnsi="Calibri"/>
              </w:rPr>
            </w:pPr>
          </w:p>
        </w:tc>
        <w:tc>
          <w:tcPr>
            <w:tcW w:w="1224" w:type="dxa"/>
          </w:tcPr>
          <w:p w:rsidR="002C5517" w:rsidRPr="00A31D15" w:rsidRDefault="002C5517" w:rsidP="002C5517">
            <w:pPr>
              <w:jc w:val="center"/>
              <w:rPr>
                <w:rFonts w:ascii="Calibri" w:hAnsi="Calibri"/>
              </w:rPr>
            </w:pPr>
          </w:p>
        </w:tc>
      </w:tr>
      <w:tr w:rsidR="002C5517" w:rsidRPr="00051CF4">
        <w:trPr>
          <w:trHeight w:val="270"/>
          <w:jc w:val="center"/>
        </w:trPr>
        <w:tc>
          <w:tcPr>
            <w:tcW w:w="2502" w:type="dxa"/>
          </w:tcPr>
          <w:p w:rsidR="002C5517" w:rsidRPr="00067791" w:rsidRDefault="002C5517" w:rsidP="002C551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Maghreb</w:t>
            </w:r>
          </w:p>
        </w:tc>
        <w:tc>
          <w:tcPr>
            <w:tcW w:w="709" w:type="dxa"/>
          </w:tcPr>
          <w:p w:rsidR="002C5517" w:rsidRPr="00A31D15" w:rsidRDefault="002C5517">
            <w:pPr>
              <w:jc w:val="center"/>
              <w:rPr>
                <w:rFonts w:ascii="Calibri" w:hAnsi="Calibri"/>
              </w:rPr>
            </w:pPr>
            <w:r w:rsidRPr="00A31D15">
              <w:rPr>
                <w:rFonts w:ascii="Calibri" w:hAnsi="Calibri"/>
              </w:rPr>
              <w:t>9</w:t>
            </w:r>
          </w:p>
        </w:tc>
        <w:tc>
          <w:tcPr>
            <w:tcW w:w="993" w:type="dxa"/>
          </w:tcPr>
          <w:p w:rsidR="002C5517" w:rsidRPr="00A31D15" w:rsidRDefault="002C5517" w:rsidP="0056301F">
            <w:pPr>
              <w:jc w:val="center"/>
              <w:rPr>
                <w:rFonts w:ascii="Calibri" w:hAnsi="Calibri"/>
              </w:rPr>
            </w:pPr>
            <w:r w:rsidRPr="00A31D15">
              <w:rPr>
                <w:rFonts w:ascii="Calibri" w:hAnsi="Calibri"/>
              </w:rPr>
              <w:t>2 </w:t>
            </w:r>
            <w:r w:rsidR="0056301F">
              <w:rPr>
                <w:rFonts w:ascii="Calibri" w:hAnsi="Calibri"/>
              </w:rPr>
              <w:t>923</w:t>
            </w:r>
          </w:p>
        </w:tc>
        <w:tc>
          <w:tcPr>
            <w:tcW w:w="1275" w:type="dxa"/>
          </w:tcPr>
          <w:p w:rsidR="002C5517" w:rsidRPr="00A31D15" w:rsidRDefault="0056301F" w:rsidP="002C5517">
            <w:pPr>
              <w:tabs>
                <w:tab w:val="decimal" w:pos="555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7,72</w:t>
            </w:r>
            <w:r w:rsidR="002C5517">
              <w:rPr>
                <w:rFonts w:ascii="Calibri" w:hAnsi="Calibri"/>
              </w:rPr>
              <w:t xml:space="preserve"> </w:t>
            </w:r>
            <w:r w:rsidR="002C5517" w:rsidRPr="00A31D15">
              <w:rPr>
                <w:rFonts w:ascii="Calibri" w:hAnsi="Calibri"/>
              </w:rPr>
              <w:t>M€</w:t>
            </w:r>
          </w:p>
        </w:tc>
        <w:tc>
          <w:tcPr>
            <w:tcW w:w="1276" w:type="dxa"/>
          </w:tcPr>
          <w:p w:rsidR="002C5517" w:rsidRPr="00A31D15" w:rsidRDefault="0056301F" w:rsidP="0056301F">
            <w:pPr>
              <w:tabs>
                <w:tab w:val="decimal" w:pos="5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2 641</w:t>
            </w:r>
            <w:r w:rsidR="002C5517" w:rsidRPr="00A31D15">
              <w:rPr>
                <w:rFonts w:ascii="Calibri" w:hAnsi="Calibri"/>
              </w:rPr>
              <w:t xml:space="preserve"> €</w:t>
            </w:r>
          </w:p>
        </w:tc>
        <w:tc>
          <w:tcPr>
            <w:tcW w:w="850" w:type="dxa"/>
          </w:tcPr>
          <w:p w:rsidR="002C5517" w:rsidRPr="00A31D15" w:rsidRDefault="002C5517" w:rsidP="002C5517">
            <w:pPr>
              <w:tabs>
                <w:tab w:val="decimal" w:pos="555"/>
              </w:tabs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2C5517" w:rsidRPr="00A31D15" w:rsidRDefault="002C5517" w:rsidP="002C5517">
            <w:pPr>
              <w:tabs>
                <w:tab w:val="decimal" w:pos="555"/>
              </w:tabs>
              <w:rPr>
                <w:rFonts w:ascii="Calibri" w:hAnsi="Calibri"/>
              </w:rPr>
            </w:pPr>
          </w:p>
        </w:tc>
        <w:tc>
          <w:tcPr>
            <w:tcW w:w="1224" w:type="dxa"/>
          </w:tcPr>
          <w:p w:rsidR="002C5517" w:rsidRPr="00A31D15" w:rsidRDefault="002C5517" w:rsidP="002C5517">
            <w:pPr>
              <w:jc w:val="center"/>
              <w:rPr>
                <w:rFonts w:ascii="Calibri" w:hAnsi="Calibri"/>
              </w:rPr>
            </w:pPr>
          </w:p>
        </w:tc>
      </w:tr>
      <w:tr w:rsidR="002C5517" w:rsidRPr="00051CF4">
        <w:trPr>
          <w:trHeight w:val="270"/>
          <w:jc w:val="center"/>
        </w:trPr>
        <w:tc>
          <w:tcPr>
            <w:tcW w:w="2502" w:type="dxa"/>
          </w:tcPr>
          <w:p w:rsidR="002C5517" w:rsidRPr="00067791" w:rsidRDefault="002C5517" w:rsidP="002C5517">
            <w:pPr>
              <w:rPr>
                <w:rFonts w:ascii="Calibri" w:hAnsi="Calibri"/>
                <w:b/>
              </w:rPr>
            </w:pPr>
            <w:r w:rsidRPr="00067791">
              <w:rPr>
                <w:rFonts w:ascii="Calibri" w:hAnsi="Calibri"/>
                <w:b/>
              </w:rPr>
              <w:t>Amérique du Nord</w:t>
            </w:r>
          </w:p>
        </w:tc>
        <w:tc>
          <w:tcPr>
            <w:tcW w:w="709" w:type="dxa"/>
          </w:tcPr>
          <w:p w:rsidR="002C5517" w:rsidRPr="00A31D15" w:rsidRDefault="002C5517">
            <w:pPr>
              <w:jc w:val="center"/>
              <w:rPr>
                <w:rFonts w:ascii="Calibri" w:hAnsi="Calibri"/>
              </w:rPr>
            </w:pPr>
            <w:r w:rsidRPr="00A31D15">
              <w:rPr>
                <w:rFonts w:ascii="Calibri" w:hAnsi="Calibri"/>
              </w:rPr>
              <w:t>14</w:t>
            </w:r>
          </w:p>
        </w:tc>
        <w:tc>
          <w:tcPr>
            <w:tcW w:w="993" w:type="dxa"/>
          </w:tcPr>
          <w:p w:rsidR="002C5517" w:rsidRPr="00A31D15" w:rsidRDefault="002C5517" w:rsidP="00762CE5">
            <w:pPr>
              <w:jc w:val="center"/>
              <w:rPr>
                <w:rFonts w:ascii="Calibri" w:hAnsi="Calibri"/>
              </w:rPr>
            </w:pPr>
            <w:r w:rsidRPr="00A31D15">
              <w:rPr>
                <w:rFonts w:ascii="Calibri" w:hAnsi="Calibri"/>
              </w:rPr>
              <w:t>1 </w:t>
            </w:r>
            <w:r w:rsidR="00762CE5">
              <w:rPr>
                <w:rFonts w:ascii="Calibri" w:hAnsi="Calibri"/>
              </w:rPr>
              <w:t>592</w:t>
            </w:r>
          </w:p>
        </w:tc>
        <w:tc>
          <w:tcPr>
            <w:tcW w:w="1275" w:type="dxa"/>
          </w:tcPr>
          <w:p w:rsidR="002C5517" w:rsidRPr="00A31D15" w:rsidRDefault="00D86420" w:rsidP="00D86420">
            <w:pPr>
              <w:tabs>
                <w:tab w:val="decimal" w:pos="555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762CE5">
              <w:rPr>
                <w:rFonts w:ascii="Calibri" w:hAnsi="Calibri"/>
              </w:rPr>
              <w:t>14</w:t>
            </w:r>
            <w:r w:rsidR="002C5517">
              <w:rPr>
                <w:rFonts w:ascii="Calibri" w:hAnsi="Calibri"/>
              </w:rPr>
              <w:t xml:space="preserve"> </w:t>
            </w:r>
            <w:r w:rsidR="002C5517" w:rsidRPr="00A31D15">
              <w:rPr>
                <w:rFonts w:ascii="Calibri" w:hAnsi="Calibri"/>
              </w:rPr>
              <w:t>M€</w:t>
            </w:r>
          </w:p>
        </w:tc>
        <w:tc>
          <w:tcPr>
            <w:tcW w:w="1276" w:type="dxa"/>
          </w:tcPr>
          <w:p w:rsidR="002C5517" w:rsidRPr="00A31D15" w:rsidRDefault="0056301F" w:rsidP="002C5517">
            <w:pPr>
              <w:tabs>
                <w:tab w:val="decimal" w:pos="5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8796</w:t>
            </w:r>
            <w:r w:rsidR="002C5517" w:rsidRPr="00A31D15">
              <w:rPr>
                <w:rFonts w:ascii="Calibri" w:hAnsi="Calibri"/>
              </w:rPr>
              <w:t xml:space="preserve"> €</w:t>
            </w:r>
          </w:p>
        </w:tc>
        <w:tc>
          <w:tcPr>
            <w:tcW w:w="850" w:type="dxa"/>
          </w:tcPr>
          <w:p w:rsidR="002C5517" w:rsidRPr="00A31D15" w:rsidRDefault="002C5517">
            <w:pPr>
              <w:tabs>
                <w:tab w:val="decimal" w:pos="555"/>
              </w:tabs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2C5517" w:rsidRPr="00A31D15" w:rsidRDefault="002C5517" w:rsidP="002C5517">
            <w:pPr>
              <w:tabs>
                <w:tab w:val="decimal" w:pos="555"/>
              </w:tabs>
              <w:rPr>
                <w:rFonts w:ascii="Calibri" w:hAnsi="Calibri"/>
              </w:rPr>
            </w:pPr>
          </w:p>
        </w:tc>
        <w:tc>
          <w:tcPr>
            <w:tcW w:w="1224" w:type="dxa"/>
          </w:tcPr>
          <w:p w:rsidR="002C5517" w:rsidRPr="00A31D15" w:rsidRDefault="002C5517" w:rsidP="002C5517">
            <w:pPr>
              <w:jc w:val="center"/>
              <w:rPr>
                <w:rFonts w:ascii="Calibri" w:hAnsi="Calibri"/>
              </w:rPr>
            </w:pPr>
          </w:p>
        </w:tc>
      </w:tr>
      <w:tr w:rsidR="002C5517" w:rsidRPr="00051CF4">
        <w:trPr>
          <w:trHeight w:val="270"/>
          <w:jc w:val="center"/>
        </w:trPr>
        <w:tc>
          <w:tcPr>
            <w:tcW w:w="2502" w:type="dxa"/>
          </w:tcPr>
          <w:p w:rsidR="002C5517" w:rsidRPr="00067791" w:rsidRDefault="002C5517" w:rsidP="002C5517">
            <w:pPr>
              <w:rPr>
                <w:rFonts w:ascii="Calibri" w:hAnsi="Calibri"/>
                <w:b/>
              </w:rPr>
            </w:pPr>
            <w:r w:rsidRPr="00067791">
              <w:rPr>
                <w:rFonts w:ascii="Calibri" w:hAnsi="Calibri"/>
                <w:b/>
              </w:rPr>
              <w:t>Amérique Centrale et Sud</w:t>
            </w:r>
          </w:p>
        </w:tc>
        <w:tc>
          <w:tcPr>
            <w:tcW w:w="709" w:type="dxa"/>
          </w:tcPr>
          <w:p w:rsidR="002C5517" w:rsidRPr="00A31D15" w:rsidRDefault="002C5517" w:rsidP="002C5517">
            <w:pPr>
              <w:jc w:val="center"/>
              <w:rPr>
                <w:rFonts w:ascii="Calibri" w:hAnsi="Calibri"/>
              </w:rPr>
            </w:pPr>
            <w:r w:rsidRPr="00A31D15">
              <w:rPr>
                <w:rFonts w:ascii="Calibri" w:hAnsi="Calibri"/>
              </w:rPr>
              <w:t>14</w:t>
            </w:r>
          </w:p>
        </w:tc>
        <w:tc>
          <w:tcPr>
            <w:tcW w:w="993" w:type="dxa"/>
          </w:tcPr>
          <w:p w:rsidR="002C5517" w:rsidRPr="00A31D15" w:rsidRDefault="002C5517" w:rsidP="00762CE5">
            <w:pPr>
              <w:jc w:val="center"/>
              <w:rPr>
                <w:rFonts w:ascii="Calibri" w:hAnsi="Calibri"/>
              </w:rPr>
            </w:pPr>
            <w:r w:rsidRPr="00A31D15">
              <w:rPr>
                <w:rFonts w:ascii="Calibri" w:hAnsi="Calibri"/>
              </w:rPr>
              <w:t>1 1</w:t>
            </w:r>
            <w:r w:rsidR="00762CE5">
              <w:rPr>
                <w:rFonts w:ascii="Calibri" w:hAnsi="Calibri"/>
              </w:rPr>
              <w:t>39</w:t>
            </w:r>
          </w:p>
        </w:tc>
        <w:tc>
          <w:tcPr>
            <w:tcW w:w="1275" w:type="dxa"/>
          </w:tcPr>
          <w:p w:rsidR="002C5517" w:rsidRPr="00A31D15" w:rsidRDefault="00762CE5" w:rsidP="00D86420">
            <w:pPr>
              <w:tabs>
                <w:tab w:val="decimal" w:pos="555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2C5517" w:rsidRPr="00A31D1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>4</w:t>
            </w:r>
            <w:r w:rsidR="002C5517">
              <w:rPr>
                <w:rFonts w:ascii="Calibri" w:hAnsi="Calibri"/>
              </w:rPr>
              <w:t xml:space="preserve"> </w:t>
            </w:r>
            <w:r w:rsidR="002C5517" w:rsidRPr="00A31D15">
              <w:rPr>
                <w:rFonts w:ascii="Calibri" w:hAnsi="Calibri"/>
              </w:rPr>
              <w:t>M€</w:t>
            </w:r>
          </w:p>
        </w:tc>
        <w:tc>
          <w:tcPr>
            <w:tcW w:w="1276" w:type="dxa"/>
          </w:tcPr>
          <w:p w:rsidR="002C5517" w:rsidRPr="00A31D15" w:rsidRDefault="002C5517" w:rsidP="00762CE5">
            <w:pPr>
              <w:tabs>
                <w:tab w:val="decimal" w:pos="555"/>
              </w:tabs>
              <w:jc w:val="center"/>
              <w:rPr>
                <w:rFonts w:ascii="Calibri" w:hAnsi="Calibri"/>
              </w:rPr>
            </w:pPr>
            <w:r w:rsidRPr="00A31D15">
              <w:rPr>
                <w:rFonts w:ascii="Calibri" w:hAnsi="Calibri"/>
              </w:rPr>
              <w:t>3 </w:t>
            </w:r>
            <w:r w:rsidR="00762CE5">
              <w:rPr>
                <w:rFonts w:ascii="Calibri" w:hAnsi="Calibri"/>
              </w:rPr>
              <w:t>863</w:t>
            </w:r>
            <w:r w:rsidRPr="00A31D15">
              <w:rPr>
                <w:rFonts w:ascii="Calibri" w:hAnsi="Calibri"/>
              </w:rPr>
              <w:t xml:space="preserve"> €</w:t>
            </w:r>
          </w:p>
        </w:tc>
        <w:tc>
          <w:tcPr>
            <w:tcW w:w="850" w:type="dxa"/>
          </w:tcPr>
          <w:p w:rsidR="002C5517" w:rsidRPr="00A31D15" w:rsidRDefault="002C5517">
            <w:pPr>
              <w:tabs>
                <w:tab w:val="decimal" w:pos="555"/>
              </w:tabs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2C5517" w:rsidRPr="00A31D15" w:rsidRDefault="002C5517" w:rsidP="002C5517">
            <w:pPr>
              <w:tabs>
                <w:tab w:val="decimal" w:pos="555"/>
              </w:tabs>
              <w:rPr>
                <w:rFonts w:ascii="Calibri" w:hAnsi="Calibri"/>
              </w:rPr>
            </w:pPr>
          </w:p>
        </w:tc>
        <w:tc>
          <w:tcPr>
            <w:tcW w:w="1224" w:type="dxa"/>
          </w:tcPr>
          <w:p w:rsidR="002C5517" w:rsidRPr="00A31D15" w:rsidRDefault="002C5517" w:rsidP="002C5517">
            <w:pPr>
              <w:jc w:val="center"/>
              <w:rPr>
                <w:rFonts w:ascii="Calibri" w:hAnsi="Calibri"/>
              </w:rPr>
            </w:pPr>
          </w:p>
        </w:tc>
      </w:tr>
      <w:tr w:rsidR="002C5517" w:rsidRPr="00051CF4">
        <w:trPr>
          <w:trHeight w:val="270"/>
          <w:jc w:val="center"/>
        </w:trPr>
        <w:tc>
          <w:tcPr>
            <w:tcW w:w="2502" w:type="dxa"/>
          </w:tcPr>
          <w:p w:rsidR="002C5517" w:rsidRPr="00067791" w:rsidRDefault="002C5517" w:rsidP="002C5517">
            <w:pPr>
              <w:rPr>
                <w:rFonts w:ascii="Calibri" w:hAnsi="Calibri"/>
                <w:b/>
              </w:rPr>
            </w:pPr>
            <w:r w:rsidRPr="00067791">
              <w:rPr>
                <w:rFonts w:ascii="Calibri" w:hAnsi="Calibri"/>
                <w:b/>
              </w:rPr>
              <w:t>Rythme sud</w:t>
            </w:r>
          </w:p>
        </w:tc>
        <w:tc>
          <w:tcPr>
            <w:tcW w:w="709" w:type="dxa"/>
          </w:tcPr>
          <w:p w:rsidR="002C5517" w:rsidRPr="00A31D15" w:rsidRDefault="002C5517">
            <w:pPr>
              <w:jc w:val="center"/>
              <w:rPr>
                <w:rFonts w:ascii="Calibri" w:hAnsi="Calibri"/>
              </w:rPr>
            </w:pPr>
            <w:r w:rsidRPr="00A31D15">
              <w:rPr>
                <w:rFonts w:ascii="Calibri" w:hAnsi="Calibri"/>
              </w:rPr>
              <w:t>12</w:t>
            </w:r>
          </w:p>
        </w:tc>
        <w:tc>
          <w:tcPr>
            <w:tcW w:w="993" w:type="dxa"/>
          </w:tcPr>
          <w:p w:rsidR="002C5517" w:rsidRPr="00A31D15" w:rsidRDefault="002C5517" w:rsidP="0056301F">
            <w:pPr>
              <w:jc w:val="center"/>
              <w:rPr>
                <w:rFonts w:ascii="Calibri" w:hAnsi="Calibri"/>
              </w:rPr>
            </w:pPr>
            <w:r w:rsidRPr="00A31D15">
              <w:rPr>
                <w:rFonts w:ascii="Calibri" w:hAnsi="Calibri"/>
              </w:rPr>
              <w:t>1</w:t>
            </w:r>
            <w:r w:rsidR="0056301F">
              <w:rPr>
                <w:rFonts w:ascii="Calibri" w:hAnsi="Calibri"/>
              </w:rPr>
              <w:t> 848</w:t>
            </w:r>
          </w:p>
        </w:tc>
        <w:tc>
          <w:tcPr>
            <w:tcW w:w="1275" w:type="dxa"/>
          </w:tcPr>
          <w:p w:rsidR="002C5517" w:rsidRPr="00A31D15" w:rsidRDefault="0056301F" w:rsidP="002C5517">
            <w:pPr>
              <w:tabs>
                <w:tab w:val="decimal" w:pos="555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9,</w:t>
            </w:r>
            <w:r w:rsidR="002C5517" w:rsidRPr="00A31D15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5</w:t>
            </w:r>
            <w:r w:rsidR="002C5517" w:rsidRPr="00A31D15">
              <w:rPr>
                <w:rFonts w:ascii="Calibri" w:hAnsi="Calibri"/>
              </w:rPr>
              <w:t>M€</w:t>
            </w:r>
          </w:p>
        </w:tc>
        <w:tc>
          <w:tcPr>
            <w:tcW w:w="1276" w:type="dxa"/>
          </w:tcPr>
          <w:p w:rsidR="002C5517" w:rsidRPr="00A31D15" w:rsidRDefault="0056301F" w:rsidP="002C5517">
            <w:pPr>
              <w:tabs>
                <w:tab w:val="decimal" w:pos="5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5005</w:t>
            </w:r>
            <w:r w:rsidR="002C5517" w:rsidRPr="00A31D15">
              <w:rPr>
                <w:rFonts w:ascii="Calibri" w:hAnsi="Calibri"/>
              </w:rPr>
              <w:t xml:space="preserve"> €</w:t>
            </w:r>
          </w:p>
        </w:tc>
        <w:tc>
          <w:tcPr>
            <w:tcW w:w="850" w:type="dxa"/>
          </w:tcPr>
          <w:p w:rsidR="002C5517" w:rsidRPr="00A31D15" w:rsidRDefault="002C5517" w:rsidP="0056301F">
            <w:pPr>
              <w:tabs>
                <w:tab w:val="decimal" w:pos="555"/>
              </w:tabs>
              <w:rPr>
                <w:rFonts w:ascii="Calibri" w:hAnsi="Calibri"/>
              </w:rPr>
            </w:pPr>
            <w:r w:rsidRPr="00A31D15">
              <w:rPr>
                <w:rFonts w:ascii="Calibri" w:hAnsi="Calibri"/>
              </w:rPr>
              <w:t>3</w:t>
            </w:r>
            <w:r w:rsidR="0056301F">
              <w:rPr>
                <w:rFonts w:ascii="Calibri" w:hAnsi="Calibri"/>
              </w:rPr>
              <w:t>10</w:t>
            </w:r>
          </w:p>
        </w:tc>
        <w:tc>
          <w:tcPr>
            <w:tcW w:w="1276" w:type="dxa"/>
          </w:tcPr>
          <w:p w:rsidR="002C5517" w:rsidRPr="00A31D15" w:rsidRDefault="002C5517" w:rsidP="0056301F">
            <w:pPr>
              <w:tabs>
                <w:tab w:val="decimal" w:pos="555"/>
              </w:tabs>
              <w:rPr>
                <w:rFonts w:ascii="Calibri" w:hAnsi="Calibri"/>
              </w:rPr>
            </w:pPr>
            <w:r w:rsidRPr="00A31D15">
              <w:rPr>
                <w:rFonts w:ascii="Calibri" w:hAnsi="Calibri"/>
              </w:rPr>
              <w:t>1,</w:t>
            </w:r>
            <w:r w:rsidR="0056301F">
              <w:rPr>
                <w:rFonts w:ascii="Calibri" w:hAnsi="Calibri"/>
              </w:rPr>
              <w:t>16</w:t>
            </w:r>
            <w:r>
              <w:rPr>
                <w:rFonts w:ascii="Calibri" w:hAnsi="Calibri"/>
              </w:rPr>
              <w:t xml:space="preserve"> </w:t>
            </w:r>
            <w:r w:rsidRPr="00A31D15">
              <w:rPr>
                <w:rFonts w:ascii="Calibri" w:hAnsi="Calibri"/>
              </w:rPr>
              <w:t>M€</w:t>
            </w:r>
          </w:p>
        </w:tc>
        <w:tc>
          <w:tcPr>
            <w:tcW w:w="1224" w:type="dxa"/>
          </w:tcPr>
          <w:p w:rsidR="002C5517" w:rsidRPr="00A31D15" w:rsidRDefault="0056301F" w:rsidP="002C551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3741</w:t>
            </w:r>
            <w:r w:rsidR="002C5517">
              <w:rPr>
                <w:rFonts w:ascii="Calibri" w:hAnsi="Calibri"/>
              </w:rPr>
              <w:t xml:space="preserve"> €</w:t>
            </w:r>
          </w:p>
        </w:tc>
      </w:tr>
      <w:tr w:rsidR="002C5517" w:rsidRPr="00051CF4">
        <w:trPr>
          <w:trHeight w:val="119"/>
          <w:jc w:val="center"/>
        </w:trPr>
        <w:tc>
          <w:tcPr>
            <w:tcW w:w="2502" w:type="dxa"/>
            <w:shd w:val="clear" w:color="auto" w:fill="auto"/>
          </w:tcPr>
          <w:p w:rsidR="002C5517" w:rsidRPr="00051CF4" w:rsidRDefault="002C5517">
            <w:pPr>
              <w:rPr>
                <w:rFonts w:ascii="Calibri" w:hAnsi="Calibri"/>
                <w:sz w:val="8"/>
              </w:rPr>
            </w:pPr>
          </w:p>
        </w:tc>
        <w:tc>
          <w:tcPr>
            <w:tcW w:w="709" w:type="dxa"/>
            <w:shd w:val="clear" w:color="auto" w:fill="auto"/>
          </w:tcPr>
          <w:p w:rsidR="002C5517" w:rsidRPr="00051CF4" w:rsidRDefault="002C5517">
            <w:pPr>
              <w:jc w:val="center"/>
              <w:rPr>
                <w:rFonts w:ascii="Calibri" w:hAnsi="Calibri"/>
                <w:sz w:val="8"/>
              </w:rPr>
            </w:pPr>
          </w:p>
        </w:tc>
        <w:tc>
          <w:tcPr>
            <w:tcW w:w="993" w:type="dxa"/>
            <w:shd w:val="clear" w:color="auto" w:fill="auto"/>
          </w:tcPr>
          <w:p w:rsidR="002C5517" w:rsidRPr="00051CF4" w:rsidRDefault="002C5517" w:rsidP="002C5517">
            <w:pPr>
              <w:jc w:val="center"/>
              <w:rPr>
                <w:rFonts w:ascii="Calibri" w:hAnsi="Calibri"/>
                <w:sz w:val="8"/>
              </w:rPr>
            </w:pPr>
          </w:p>
        </w:tc>
        <w:tc>
          <w:tcPr>
            <w:tcW w:w="1275" w:type="dxa"/>
            <w:shd w:val="clear" w:color="auto" w:fill="auto"/>
          </w:tcPr>
          <w:p w:rsidR="002C5517" w:rsidRPr="00051CF4" w:rsidRDefault="002C5517" w:rsidP="002C5517">
            <w:pPr>
              <w:tabs>
                <w:tab w:val="decimal" w:pos="555"/>
              </w:tabs>
              <w:rPr>
                <w:rFonts w:ascii="Calibri" w:hAnsi="Calibri"/>
                <w:sz w:val="8"/>
              </w:rPr>
            </w:pPr>
          </w:p>
        </w:tc>
        <w:tc>
          <w:tcPr>
            <w:tcW w:w="1276" w:type="dxa"/>
            <w:shd w:val="clear" w:color="auto" w:fill="auto"/>
          </w:tcPr>
          <w:p w:rsidR="002C5517" w:rsidRPr="00051CF4" w:rsidRDefault="002C5517" w:rsidP="002C5517">
            <w:pPr>
              <w:tabs>
                <w:tab w:val="decimal" w:pos="555"/>
              </w:tabs>
              <w:jc w:val="center"/>
              <w:rPr>
                <w:rFonts w:ascii="Calibri" w:hAnsi="Calibri"/>
                <w:sz w:val="8"/>
              </w:rPr>
            </w:pPr>
          </w:p>
        </w:tc>
        <w:tc>
          <w:tcPr>
            <w:tcW w:w="850" w:type="dxa"/>
            <w:shd w:val="clear" w:color="auto" w:fill="auto"/>
          </w:tcPr>
          <w:p w:rsidR="002C5517" w:rsidRPr="00051CF4" w:rsidRDefault="002C5517" w:rsidP="002C5517">
            <w:pPr>
              <w:tabs>
                <w:tab w:val="decimal" w:pos="555"/>
              </w:tabs>
              <w:rPr>
                <w:rFonts w:ascii="Calibri" w:hAnsi="Calibri"/>
                <w:i/>
                <w:sz w:val="8"/>
              </w:rPr>
            </w:pPr>
          </w:p>
        </w:tc>
        <w:tc>
          <w:tcPr>
            <w:tcW w:w="1276" w:type="dxa"/>
            <w:shd w:val="clear" w:color="auto" w:fill="auto"/>
          </w:tcPr>
          <w:p w:rsidR="002C5517" w:rsidRPr="00051CF4" w:rsidRDefault="002C5517">
            <w:pPr>
              <w:tabs>
                <w:tab w:val="decimal" w:pos="555"/>
              </w:tabs>
              <w:rPr>
                <w:rFonts w:ascii="Calibri" w:hAnsi="Calibri"/>
                <w:i/>
                <w:sz w:val="8"/>
              </w:rPr>
            </w:pPr>
          </w:p>
        </w:tc>
        <w:tc>
          <w:tcPr>
            <w:tcW w:w="1224" w:type="dxa"/>
            <w:shd w:val="clear" w:color="auto" w:fill="auto"/>
          </w:tcPr>
          <w:p w:rsidR="002C5517" w:rsidRPr="00051CF4" w:rsidRDefault="002C5517" w:rsidP="002C5517">
            <w:pPr>
              <w:jc w:val="center"/>
              <w:rPr>
                <w:rFonts w:ascii="Calibri" w:hAnsi="Calibri"/>
                <w:i/>
                <w:sz w:val="8"/>
              </w:rPr>
            </w:pPr>
          </w:p>
        </w:tc>
      </w:tr>
      <w:tr w:rsidR="002C5517" w:rsidRPr="00051CF4">
        <w:trPr>
          <w:trHeight w:val="270"/>
          <w:jc w:val="center"/>
        </w:trPr>
        <w:tc>
          <w:tcPr>
            <w:tcW w:w="2502" w:type="dxa"/>
            <w:shd w:val="pct20" w:color="auto" w:fill="auto"/>
            <w:vAlign w:val="center"/>
          </w:tcPr>
          <w:p w:rsidR="002C5517" w:rsidRPr="00051CF4" w:rsidRDefault="002C5517" w:rsidP="002C5517">
            <w:pPr>
              <w:jc w:val="center"/>
              <w:rPr>
                <w:rFonts w:ascii="Calibri" w:hAnsi="Calibri"/>
                <w:b/>
              </w:rPr>
            </w:pPr>
            <w:r w:rsidRPr="00051CF4">
              <w:rPr>
                <w:rFonts w:ascii="Calibri" w:hAnsi="Calibri"/>
                <w:b/>
              </w:rPr>
              <w:t>Total</w:t>
            </w:r>
          </w:p>
        </w:tc>
        <w:tc>
          <w:tcPr>
            <w:tcW w:w="709" w:type="dxa"/>
            <w:shd w:val="pct20" w:color="auto" w:fill="auto"/>
            <w:vAlign w:val="center"/>
          </w:tcPr>
          <w:p w:rsidR="002C5517" w:rsidRPr="00A31D15" w:rsidRDefault="002C5517" w:rsidP="002C5517">
            <w:pPr>
              <w:jc w:val="center"/>
              <w:rPr>
                <w:rFonts w:ascii="Calibri" w:hAnsi="Calibri"/>
                <w:b/>
              </w:rPr>
            </w:pPr>
            <w:r w:rsidRPr="00A31D15">
              <w:rPr>
                <w:rFonts w:ascii="Calibri" w:hAnsi="Calibri"/>
                <w:b/>
              </w:rPr>
              <w:t>17</w:t>
            </w:r>
            <w:r w:rsidR="0056301F">
              <w:rPr>
                <w:rFonts w:ascii="Calibri" w:hAnsi="Calibri"/>
                <w:b/>
              </w:rPr>
              <w:t>1</w:t>
            </w:r>
          </w:p>
        </w:tc>
        <w:tc>
          <w:tcPr>
            <w:tcW w:w="993" w:type="dxa"/>
            <w:shd w:val="pct20" w:color="auto" w:fill="auto"/>
            <w:vAlign w:val="center"/>
          </w:tcPr>
          <w:p w:rsidR="002C5517" w:rsidRPr="00A31D15" w:rsidRDefault="0056301F" w:rsidP="00D8642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23 38</w:t>
            </w:r>
            <w:r w:rsidR="00D86420">
              <w:rPr>
                <w:rFonts w:ascii="Calibri" w:hAnsi="Calibri"/>
                <w:b/>
              </w:rPr>
              <w:t>7</w:t>
            </w:r>
          </w:p>
        </w:tc>
        <w:tc>
          <w:tcPr>
            <w:tcW w:w="1275" w:type="dxa"/>
            <w:shd w:val="pct20" w:color="auto" w:fill="auto"/>
          </w:tcPr>
          <w:p w:rsidR="002C5517" w:rsidRPr="00A31D15" w:rsidRDefault="00D86420" w:rsidP="002C5517">
            <w:pPr>
              <w:tabs>
                <w:tab w:val="decimal" w:pos="555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92,2</w:t>
            </w:r>
            <w:r w:rsidR="002C5517">
              <w:rPr>
                <w:rFonts w:ascii="Calibri" w:hAnsi="Calibri"/>
                <w:b/>
              </w:rPr>
              <w:t xml:space="preserve"> M€</w:t>
            </w:r>
          </w:p>
        </w:tc>
        <w:tc>
          <w:tcPr>
            <w:tcW w:w="1276" w:type="dxa"/>
            <w:shd w:val="pct20" w:color="auto" w:fill="auto"/>
            <w:vAlign w:val="center"/>
          </w:tcPr>
          <w:p w:rsidR="002C5517" w:rsidRPr="00A31D15" w:rsidRDefault="00D86420" w:rsidP="00D86420">
            <w:pPr>
              <w:tabs>
                <w:tab w:val="decimal" w:pos="5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4 442€</w:t>
            </w:r>
          </w:p>
        </w:tc>
        <w:tc>
          <w:tcPr>
            <w:tcW w:w="850" w:type="dxa"/>
            <w:shd w:val="pct20" w:color="auto" w:fill="auto"/>
            <w:vAlign w:val="center"/>
          </w:tcPr>
          <w:p w:rsidR="002C5517" w:rsidRPr="00A31D15" w:rsidRDefault="002C5517" w:rsidP="002C5517">
            <w:pPr>
              <w:tabs>
                <w:tab w:val="decimal" w:pos="555"/>
              </w:tabs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1276" w:type="dxa"/>
            <w:shd w:val="pct20" w:color="auto" w:fill="auto"/>
            <w:vAlign w:val="center"/>
          </w:tcPr>
          <w:p w:rsidR="002C5517" w:rsidRPr="00A31D15" w:rsidRDefault="002C5517" w:rsidP="002C5517">
            <w:pPr>
              <w:tabs>
                <w:tab w:val="decimal" w:pos="555"/>
              </w:tabs>
              <w:rPr>
                <w:rFonts w:ascii="Calibri" w:hAnsi="Calibri"/>
                <w:b/>
                <w:i/>
              </w:rPr>
            </w:pPr>
          </w:p>
        </w:tc>
        <w:tc>
          <w:tcPr>
            <w:tcW w:w="1224" w:type="dxa"/>
            <w:shd w:val="pct20" w:color="auto" w:fill="auto"/>
            <w:vAlign w:val="center"/>
          </w:tcPr>
          <w:p w:rsidR="002C5517" w:rsidRPr="00A31D15" w:rsidRDefault="002C5517" w:rsidP="002C5517">
            <w:pPr>
              <w:jc w:val="center"/>
              <w:rPr>
                <w:rFonts w:ascii="Calibri" w:hAnsi="Calibri"/>
                <w:b/>
                <w:i/>
              </w:rPr>
            </w:pPr>
          </w:p>
        </w:tc>
      </w:tr>
    </w:tbl>
    <w:p w:rsidR="002C5517" w:rsidRPr="00B32D75" w:rsidRDefault="002C5517" w:rsidP="002C5517">
      <w:pPr>
        <w:rPr>
          <w:rFonts w:ascii="Calibri" w:hAnsi="Calibri"/>
          <w:b/>
          <w:bCs/>
        </w:rPr>
      </w:pPr>
    </w:p>
    <w:p w:rsidR="002C5517" w:rsidRDefault="002C5517" w:rsidP="002C5517">
      <w:pPr>
        <w:rPr>
          <w:rFonts w:ascii="Calibri" w:hAnsi="Calibri"/>
          <w:b/>
          <w:bCs/>
        </w:rPr>
      </w:pPr>
    </w:p>
    <w:p w:rsidR="002C5517" w:rsidRPr="0052527F" w:rsidRDefault="002C5517" w:rsidP="002C5517">
      <w:pPr>
        <w:rPr>
          <w:rFonts w:ascii="Calibri" w:hAnsi="Calibri"/>
          <w:b/>
          <w:bCs/>
          <w:sz w:val="22"/>
        </w:rPr>
      </w:pPr>
    </w:p>
    <w:p w:rsidR="002C5517" w:rsidRPr="0052527F" w:rsidRDefault="002C5517" w:rsidP="002C5517">
      <w:pPr>
        <w:pStyle w:val="Corpsdetexte3"/>
        <w:jc w:val="both"/>
        <w:rPr>
          <w:rFonts w:ascii="Calibri" w:hAnsi="Calibri"/>
          <w:b/>
        </w:rPr>
      </w:pPr>
      <w:r w:rsidRPr="0052527F">
        <w:rPr>
          <w:rFonts w:ascii="Calibri" w:hAnsi="Calibri"/>
          <w:b/>
        </w:rPr>
        <w:t xml:space="preserve">Evolution très contrastée du nombre de boursiers d’une zone géographique à l’autre :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2693"/>
        <w:gridCol w:w="2552"/>
        <w:gridCol w:w="2693"/>
      </w:tblGrid>
      <w:tr w:rsidR="002C5517" w:rsidRPr="0052527F">
        <w:tc>
          <w:tcPr>
            <w:tcW w:w="2093" w:type="dxa"/>
          </w:tcPr>
          <w:p w:rsidR="002C5517" w:rsidRPr="0052527F" w:rsidRDefault="002C5517" w:rsidP="002C5517">
            <w:pPr>
              <w:rPr>
                <w:rFonts w:ascii="Calibri" w:hAnsi="Calibri"/>
                <w:sz w:val="22"/>
              </w:rPr>
            </w:pPr>
            <w:r w:rsidRPr="0052527F">
              <w:rPr>
                <w:rFonts w:ascii="Calibri" w:hAnsi="Calibri"/>
                <w:sz w:val="22"/>
              </w:rPr>
              <w:t xml:space="preserve">Europe : </w:t>
            </w:r>
            <w:r w:rsidRPr="00066354">
              <w:rPr>
                <w:rFonts w:ascii="Calibri" w:hAnsi="Calibri"/>
                <w:sz w:val="22"/>
              </w:rPr>
              <w:t>+ 9,</w:t>
            </w:r>
            <w:r w:rsidR="00D86420" w:rsidRPr="00066354">
              <w:rPr>
                <w:rFonts w:ascii="Calibri" w:hAnsi="Calibri"/>
                <w:sz w:val="22"/>
              </w:rPr>
              <w:t>2</w:t>
            </w:r>
            <w:r w:rsidRPr="0052527F">
              <w:rPr>
                <w:rFonts w:ascii="Calibri" w:hAnsi="Calibri"/>
                <w:b/>
                <w:sz w:val="22"/>
              </w:rPr>
              <w:t xml:space="preserve"> </w:t>
            </w:r>
            <w:r w:rsidRPr="0052527F">
              <w:rPr>
                <w:rFonts w:ascii="Calibri" w:hAnsi="Calibri"/>
                <w:sz w:val="22"/>
              </w:rPr>
              <w:t xml:space="preserve">% </w:t>
            </w:r>
            <w:r w:rsidR="00D86420">
              <w:rPr>
                <w:rFonts w:ascii="Calibri" w:hAnsi="Calibri"/>
                <w:sz w:val="22"/>
              </w:rPr>
              <w:t>en nombre</w:t>
            </w:r>
            <w:r w:rsidR="00066354">
              <w:rPr>
                <w:rFonts w:ascii="Calibri" w:hAnsi="Calibri"/>
                <w:sz w:val="22"/>
              </w:rPr>
              <w:t>,</w:t>
            </w:r>
            <w:r w:rsidR="00D86420">
              <w:rPr>
                <w:rFonts w:ascii="Calibri" w:hAnsi="Calibri"/>
                <w:sz w:val="22"/>
              </w:rPr>
              <w:t xml:space="preserve">  +6,4% en coût moyen</w:t>
            </w:r>
          </w:p>
          <w:p w:rsidR="002C5517" w:rsidRPr="0052527F" w:rsidRDefault="002C5517" w:rsidP="002C551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693" w:type="dxa"/>
          </w:tcPr>
          <w:p w:rsidR="002C5517" w:rsidRPr="0052527F" w:rsidRDefault="002C5517" w:rsidP="00066354">
            <w:pPr>
              <w:rPr>
                <w:rFonts w:ascii="Calibri" w:hAnsi="Calibri"/>
                <w:sz w:val="22"/>
              </w:rPr>
            </w:pPr>
            <w:r w:rsidRPr="0052527F">
              <w:rPr>
                <w:rFonts w:ascii="Calibri" w:hAnsi="Calibri"/>
                <w:sz w:val="22"/>
              </w:rPr>
              <w:t xml:space="preserve">Amérique latine : </w:t>
            </w:r>
            <w:r w:rsidRPr="00066354">
              <w:rPr>
                <w:rFonts w:ascii="Calibri" w:hAnsi="Calibri"/>
                <w:sz w:val="22"/>
              </w:rPr>
              <w:t xml:space="preserve">+ </w:t>
            </w:r>
            <w:r w:rsidR="00066354" w:rsidRPr="00066354">
              <w:rPr>
                <w:rFonts w:ascii="Calibri" w:hAnsi="Calibri"/>
                <w:sz w:val="22"/>
              </w:rPr>
              <w:t>2,4</w:t>
            </w:r>
            <w:r w:rsidRPr="0052527F">
              <w:rPr>
                <w:rFonts w:ascii="Calibri" w:hAnsi="Calibri"/>
                <w:b/>
                <w:sz w:val="22"/>
              </w:rPr>
              <w:t xml:space="preserve"> </w:t>
            </w:r>
            <w:r w:rsidRPr="0052527F">
              <w:rPr>
                <w:rFonts w:ascii="Calibri" w:hAnsi="Calibri"/>
                <w:sz w:val="22"/>
              </w:rPr>
              <w:t xml:space="preserve">% </w:t>
            </w:r>
            <w:r w:rsidR="00066354">
              <w:rPr>
                <w:rFonts w:ascii="Calibri" w:hAnsi="Calibri"/>
                <w:sz w:val="22"/>
              </w:rPr>
              <w:t>en nombre, 14,6% en coût moyen</w:t>
            </w:r>
          </w:p>
        </w:tc>
        <w:tc>
          <w:tcPr>
            <w:tcW w:w="2552" w:type="dxa"/>
          </w:tcPr>
          <w:p w:rsidR="002C5517" w:rsidRPr="0052527F" w:rsidRDefault="002C5517" w:rsidP="002C5517">
            <w:pPr>
              <w:rPr>
                <w:rFonts w:ascii="Calibri" w:hAnsi="Calibri"/>
                <w:sz w:val="22"/>
              </w:rPr>
            </w:pPr>
            <w:r w:rsidRPr="0052527F">
              <w:rPr>
                <w:rFonts w:ascii="Calibri" w:hAnsi="Calibri"/>
                <w:sz w:val="22"/>
              </w:rPr>
              <w:t xml:space="preserve">Afrique : + </w:t>
            </w:r>
            <w:r w:rsidR="00066354" w:rsidRPr="00066354">
              <w:rPr>
                <w:rFonts w:ascii="Calibri" w:hAnsi="Calibri"/>
                <w:sz w:val="22"/>
              </w:rPr>
              <w:t>12,8</w:t>
            </w:r>
            <w:r w:rsidRPr="0052527F">
              <w:rPr>
                <w:rFonts w:ascii="Calibri" w:hAnsi="Calibri"/>
                <w:b/>
                <w:sz w:val="22"/>
              </w:rPr>
              <w:t xml:space="preserve"> </w:t>
            </w:r>
            <w:r w:rsidRPr="0052527F">
              <w:rPr>
                <w:rFonts w:ascii="Calibri" w:hAnsi="Calibri"/>
                <w:sz w:val="22"/>
              </w:rPr>
              <w:t xml:space="preserve">% </w:t>
            </w:r>
            <w:r w:rsidR="00066354">
              <w:rPr>
                <w:rFonts w:ascii="Calibri" w:hAnsi="Calibri"/>
                <w:sz w:val="22"/>
              </w:rPr>
              <w:t>en nombre +10,8% en coût moyen</w:t>
            </w:r>
          </w:p>
          <w:p w:rsidR="002C5517" w:rsidRPr="0052527F" w:rsidRDefault="002C5517" w:rsidP="002C551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693" w:type="dxa"/>
          </w:tcPr>
          <w:p w:rsidR="002C5517" w:rsidRPr="0052527F" w:rsidRDefault="002C5517" w:rsidP="00066354">
            <w:pPr>
              <w:rPr>
                <w:rFonts w:ascii="Calibri" w:hAnsi="Calibri"/>
                <w:sz w:val="22"/>
              </w:rPr>
            </w:pPr>
            <w:r w:rsidRPr="0052527F">
              <w:rPr>
                <w:rFonts w:ascii="Calibri" w:hAnsi="Calibri"/>
                <w:sz w:val="22"/>
              </w:rPr>
              <w:t xml:space="preserve">Amérique du nord : </w:t>
            </w:r>
            <w:r w:rsidRPr="00066354">
              <w:rPr>
                <w:rFonts w:ascii="Calibri" w:hAnsi="Calibri"/>
                <w:sz w:val="22"/>
              </w:rPr>
              <w:t xml:space="preserve">+ </w:t>
            </w:r>
            <w:r w:rsidR="00066354" w:rsidRPr="00066354">
              <w:rPr>
                <w:rFonts w:ascii="Calibri" w:hAnsi="Calibri"/>
                <w:sz w:val="22"/>
              </w:rPr>
              <w:t>9,6</w:t>
            </w:r>
            <w:r w:rsidRPr="0052527F">
              <w:rPr>
                <w:rFonts w:ascii="Calibri" w:hAnsi="Calibri"/>
                <w:b/>
                <w:sz w:val="22"/>
              </w:rPr>
              <w:t xml:space="preserve"> </w:t>
            </w:r>
            <w:r w:rsidRPr="0052527F">
              <w:rPr>
                <w:rFonts w:ascii="Calibri" w:hAnsi="Calibri"/>
                <w:sz w:val="22"/>
              </w:rPr>
              <w:t>%</w:t>
            </w:r>
            <w:r w:rsidR="00066354">
              <w:rPr>
                <w:rFonts w:ascii="Calibri" w:hAnsi="Calibri"/>
                <w:sz w:val="22"/>
              </w:rPr>
              <w:t xml:space="preserve"> en nombre, 9,9% en coût moyen</w:t>
            </w:r>
            <w:r w:rsidRPr="0052527F">
              <w:rPr>
                <w:rFonts w:ascii="Calibri" w:hAnsi="Calibri"/>
                <w:sz w:val="22"/>
              </w:rPr>
              <w:t xml:space="preserve"> </w:t>
            </w:r>
          </w:p>
        </w:tc>
      </w:tr>
      <w:tr w:rsidR="00D86420" w:rsidRPr="0052527F">
        <w:tc>
          <w:tcPr>
            <w:tcW w:w="2093" w:type="dxa"/>
          </w:tcPr>
          <w:p w:rsidR="00D86420" w:rsidRPr="0052527F" w:rsidRDefault="00D86420" w:rsidP="00066354">
            <w:pPr>
              <w:rPr>
                <w:rFonts w:ascii="Calibri" w:hAnsi="Calibri"/>
                <w:sz w:val="22"/>
              </w:rPr>
            </w:pPr>
            <w:r w:rsidRPr="0052527F">
              <w:rPr>
                <w:rFonts w:ascii="Calibri" w:hAnsi="Calibri"/>
                <w:sz w:val="22"/>
              </w:rPr>
              <w:t xml:space="preserve">Asie : </w:t>
            </w:r>
            <w:r w:rsidRPr="00066354">
              <w:rPr>
                <w:rFonts w:ascii="Calibri" w:hAnsi="Calibri"/>
                <w:sz w:val="22"/>
              </w:rPr>
              <w:t xml:space="preserve">+ </w:t>
            </w:r>
            <w:r w:rsidR="00066354" w:rsidRPr="00066354">
              <w:rPr>
                <w:rFonts w:ascii="Calibri" w:hAnsi="Calibri"/>
                <w:sz w:val="22"/>
              </w:rPr>
              <w:t>6,3</w:t>
            </w:r>
            <w:r w:rsidRPr="0052527F">
              <w:rPr>
                <w:rFonts w:ascii="Calibri" w:hAnsi="Calibri"/>
                <w:b/>
                <w:sz w:val="22"/>
              </w:rPr>
              <w:t xml:space="preserve"> </w:t>
            </w:r>
            <w:r w:rsidRPr="0052527F">
              <w:rPr>
                <w:rFonts w:ascii="Calibri" w:hAnsi="Calibri"/>
                <w:sz w:val="22"/>
              </w:rPr>
              <w:t>%</w:t>
            </w:r>
            <w:r w:rsidR="00066354">
              <w:rPr>
                <w:rFonts w:ascii="Calibri" w:hAnsi="Calibri"/>
                <w:sz w:val="22"/>
              </w:rPr>
              <w:t xml:space="preserve"> en nombre, + 8,8% en coût moyen</w:t>
            </w:r>
          </w:p>
        </w:tc>
        <w:tc>
          <w:tcPr>
            <w:tcW w:w="2693" w:type="dxa"/>
          </w:tcPr>
          <w:p w:rsidR="00D86420" w:rsidRPr="0052527F" w:rsidRDefault="00D86420" w:rsidP="00066354">
            <w:pPr>
              <w:rPr>
                <w:rFonts w:ascii="Calibri" w:hAnsi="Calibri"/>
                <w:sz w:val="22"/>
              </w:rPr>
            </w:pPr>
            <w:r w:rsidRPr="0052527F">
              <w:rPr>
                <w:rFonts w:ascii="Calibri" w:hAnsi="Calibri"/>
                <w:sz w:val="22"/>
              </w:rPr>
              <w:t xml:space="preserve">Maghreb : + </w:t>
            </w:r>
            <w:r w:rsidR="00066354">
              <w:rPr>
                <w:rFonts w:ascii="Calibri" w:hAnsi="Calibri"/>
                <w:b/>
                <w:sz w:val="22"/>
              </w:rPr>
              <w:t>5,9</w:t>
            </w:r>
            <w:r w:rsidRPr="0052527F">
              <w:rPr>
                <w:rFonts w:ascii="Calibri" w:hAnsi="Calibri"/>
                <w:b/>
                <w:sz w:val="22"/>
              </w:rPr>
              <w:t xml:space="preserve"> </w:t>
            </w:r>
            <w:r w:rsidRPr="0052527F">
              <w:rPr>
                <w:rFonts w:ascii="Calibri" w:hAnsi="Calibri"/>
                <w:sz w:val="22"/>
              </w:rPr>
              <w:t>%</w:t>
            </w:r>
            <w:r w:rsidR="00066354">
              <w:rPr>
                <w:rFonts w:ascii="Calibri" w:hAnsi="Calibri"/>
                <w:sz w:val="22"/>
              </w:rPr>
              <w:t xml:space="preserve"> en nombre, +9,5% en coût moyen</w:t>
            </w:r>
          </w:p>
        </w:tc>
        <w:tc>
          <w:tcPr>
            <w:tcW w:w="2552" w:type="dxa"/>
          </w:tcPr>
          <w:p w:rsidR="00D86420" w:rsidRPr="0052527F" w:rsidRDefault="00D86420" w:rsidP="00066354">
            <w:pPr>
              <w:rPr>
                <w:rFonts w:ascii="Calibri" w:hAnsi="Calibri"/>
                <w:sz w:val="22"/>
              </w:rPr>
            </w:pPr>
            <w:r w:rsidRPr="0052527F">
              <w:rPr>
                <w:rFonts w:ascii="Calibri" w:hAnsi="Calibri"/>
                <w:sz w:val="22"/>
              </w:rPr>
              <w:t xml:space="preserve">Moyen - </w:t>
            </w:r>
            <w:r w:rsidR="00066354">
              <w:rPr>
                <w:rFonts w:ascii="Calibri" w:hAnsi="Calibri"/>
                <w:sz w:val="22"/>
              </w:rPr>
              <w:t>O</w:t>
            </w:r>
            <w:r w:rsidRPr="0052527F">
              <w:rPr>
                <w:rFonts w:ascii="Calibri" w:hAnsi="Calibri"/>
                <w:sz w:val="22"/>
              </w:rPr>
              <w:t xml:space="preserve">rient : </w:t>
            </w:r>
            <w:r w:rsidR="00066354">
              <w:rPr>
                <w:rFonts w:ascii="Calibri" w:hAnsi="Calibri"/>
                <w:sz w:val="22"/>
              </w:rPr>
              <w:t>-</w:t>
            </w:r>
            <w:r w:rsidRPr="0052527F">
              <w:rPr>
                <w:rFonts w:ascii="Calibri" w:hAnsi="Calibri"/>
                <w:sz w:val="22"/>
              </w:rPr>
              <w:t xml:space="preserve"> </w:t>
            </w:r>
            <w:r w:rsidR="00066354">
              <w:rPr>
                <w:rFonts w:ascii="Calibri" w:hAnsi="Calibri"/>
                <w:b/>
                <w:sz w:val="22"/>
              </w:rPr>
              <w:t>17,7</w:t>
            </w:r>
            <w:r w:rsidRPr="0052527F">
              <w:rPr>
                <w:rFonts w:ascii="Calibri" w:hAnsi="Calibri"/>
                <w:b/>
                <w:sz w:val="22"/>
              </w:rPr>
              <w:t xml:space="preserve"> </w:t>
            </w:r>
            <w:r w:rsidRPr="0052527F">
              <w:rPr>
                <w:rFonts w:ascii="Calibri" w:hAnsi="Calibri"/>
                <w:sz w:val="22"/>
              </w:rPr>
              <w:t>%</w:t>
            </w:r>
            <w:r w:rsidR="00066354">
              <w:rPr>
                <w:rFonts w:ascii="Calibri" w:hAnsi="Calibri"/>
                <w:sz w:val="22"/>
              </w:rPr>
              <w:t xml:space="preserve"> en nombre, + 13,9% en coût moyen</w:t>
            </w:r>
          </w:p>
        </w:tc>
        <w:tc>
          <w:tcPr>
            <w:tcW w:w="2693" w:type="dxa"/>
          </w:tcPr>
          <w:p w:rsidR="00D86420" w:rsidRPr="0052527F" w:rsidRDefault="00D86420" w:rsidP="002C5517">
            <w:pPr>
              <w:rPr>
                <w:rFonts w:ascii="Calibri" w:hAnsi="Calibri"/>
                <w:sz w:val="22"/>
              </w:rPr>
            </w:pPr>
          </w:p>
        </w:tc>
      </w:tr>
    </w:tbl>
    <w:p w:rsidR="002C5517" w:rsidRPr="0052527F" w:rsidRDefault="002C5517" w:rsidP="002C5517">
      <w:pPr>
        <w:jc w:val="both"/>
        <w:rPr>
          <w:rFonts w:ascii="Calibri" w:hAnsi="Calibri"/>
          <w:b/>
          <w:bCs/>
          <w:sz w:val="22"/>
        </w:rPr>
      </w:pPr>
    </w:p>
    <w:p w:rsidR="007E1BB2" w:rsidRDefault="002C5517" w:rsidP="007E1BB2">
      <w:pPr>
        <w:jc w:val="both"/>
        <w:rPr>
          <w:rFonts w:ascii="Calibri" w:hAnsi="Calibri"/>
        </w:rPr>
      </w:pPr>
      <w:r w:rsidRPr="0052527F">
        <w:rPr>
          <w:rFonts w:ascii="Calibri" w:hAnsi="Calibri"/>
          <w:b/>
          <w:sz w:val="22"/>
        </w:rPr>
        <w:t xml:space="preserve">Conséquences du </w:t>
      </w:r>
      <w:r w:rsidR="00382E75">
        <w:rPr>
          <w:rFonts w:ascii="Calibri" w:hAnsi="Calibri"/>
          <w:b/>
          <w:sz w:val="22"/>
        </w:rPr>
        <w:t>gel des barèmes</w:t>
      </w:r>
      <w:r w:rsidRPr="0052527F">
        <w:rPr>
          <w:rFonts w:ascii="Calibri" w:hAnsi="Calibri"/>
          <w:b/>
        </w:rPr>
        <w:t xml:space="preserve"> </w:t>
      </w:r>
      <w:r w:rsidR="00382E75">
        <w:rPr>
          <w:rFonts w:ascii="Calibri" w:hAnsi="Calibri"/>
        </w:rPr>
        <w:t>la quotité moyenne de bourse accordée continue de baisser</w:t>
      </w:r>
      <w:r w:rsidR="007E1BB2">
        <w:rPr>
          <w:rFonts w:ascii="Calibri" w:hAnsi="Calibri"/>
        </w:rPr>
        <w:t xml:space="preserve"> légèrement. </w:t>
      </w:r>
    </w:p>
    <w:p w:rsidR="007E1BB2" w:rsidRDefault="007E1BB2" w:rsidP="007E1BB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Sur 15000 familles ayant demandé une bourse, 50,63% obtiennent une quotité de 100%, 33,96% obtiennent une quotité partielle, 15,41% sont exclues du dispositif. </w:t>
      </w:r>
    </w:p>
    <w:p w:rsidR="002C5517" w:rsidRDefault="002C5517" w:rsidP="002C5517">
      <w:pPr>
        <w:jc w:val="both"/>
        <w:rPr>
          <w:rFonts w:ascii="Calibri" w:hAnsi="Calibri"/>
        </w:rPr>
      </w:pPr>
    </w:p>
    <w:p w:rsidR="002C5517" w:rsidRDefault="002C5517" w:rsidP="002C5517">
      <w:pPr>
        <w:pStyle w:val="Corpsdetexte"/>
        <w:pBdr>
          <w:left w:val="thinThickSmallGap" w:sz="24" w:space="4" w:color="333399"/>
        </w:pBdr>
        <w:rPr>
          <w:rFonts w:ascii="Calibri" w:hAnsi="Calibri"/>
          <w:b/>
          <w:i/>
          <w:color w:val="0070C0"/>
          <w:sz w:val="20"/>
        </w:rPr>
      </w:pPr>
      <w:r>
        <w:rPr>
          <w:rFonts w:ascii="Calibri" w:hAnsi="Calibri"/>
          <w:b/>
          <w:i/>
          <w:color w:val="0070C0"/>
          <w:sz w:val="20"/>
        </w:rPr>
        <w:t>Toutes les informations que vous nous communiquez sur les bourses scolaires, les boursiers, les commissions locales nous permettent de mieux remplir notre rôle en commiss</w:t>
      </w:r>
      <w:r w:rsidR="007E1BB2">
        <w:rPr>
          <w:rFonts w:ascii="Calibri" w:hAnsi="Calibri"/>
          <w:b/>
          <w:i/>
          <w:color w:val="0070C0"/>
          <w:sz w:val="20"/>
        </w:rPr>
        <w:t>ion nationale.</w:t>
      </w:r>
    </w:p>
    <w:p w:rsidR="002C5517" w:rsidRPr="002815DD" w:rsidRDefault="002C5517" w:rsidP="002C5517">
      <w:pPr>
        <w:pStyle w:val="Corpsdetexte"/>
        <w:pBdr>
          <w:left w:val="thinThickSmallGap" w:sz="24" w:space="4" w:color="333399"/>
        </w:pBdr>
        <w:rPr>
          <w:rFonts w:ascii="Calibri" w:hAnsi="Calibri"/>
          <w:b/>
          <w:i/>
          <w:color w:val="0070C0"/>
          <w:sz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2C5517" w:rsidRPr="00051CF4">
        <w:trPr>
          <w:jc w:val="center"/>
        </w:trPr>
        <w:tc>
          <w:tcPr>
            <w:tcW w:w="4253" w:type="dxa"/>
          </w:tcPr>
          <w:p w:rsidR="002C5517" w:rsidRPr="00051CF4" w:rsidRDefault="002C5517" w:rsidP="002C5517">
            <w:pPr>
              <w:pStyle w:val="Corpsdetexte"/>
              <w:rPr>
                <w:rFonts w:ascii="Calibri" w:hAnsi="Calibri"/>
                <w:b/>
                <w:sz w:val="20"/>
                <w:lang w:val="en-GB"/>
              </w:rPr>
            </w:pPr>
            <w:proofErr w:type="spellStart"/>
            <w:r w:rsidRPr="00051CF4">
              <w:rPr>
                <w:rFonts w:ascii="Calibri" w:hAnsi="Calibri"/>
                <w:b/>
                <w:sz w:val="20"/>
                <w:lang w:val="en-GB"/>
              </w:rPr>
              <w:t>Michèle</w:t>
            </w:r>
            <w:proofErr w:type="spellEnd"/>
            <w:r w:rsidRPr="00051CF4">
              <w:rPr>
                <w:rFonts w:ascii="Calibri" w:hAnsi="Calibri"/>
                <w:b/>
                <w:sz w:val="20"/>
                <w:lang w:val="en-GB"/>
              </w:rPr>
              <w:t xml:space="preserve"> Bloch</w:t>
            </w:r>
          </w:p>
          <w:p w:rsidR="002C5517" w:rsidRDefault="00693FC7" w:rsidP="002C5517">
            <w:pPr>
              <w:pStyle w:val="Corpsdetexte"/>
            </w:pPr>
            <w:hyperlink r:id="rId8" w:history="1">
              <w:r w:rsidR="00B97405" w:rsidRPr="0092543C">
                <w:rPr>
                  <w:rStyle w:val="Lienhypertexte"/>
                </w:rPr>
                <w:t>michele.bloch@adfe.org</w:t>
              </w:r>
            </w:hyperlink>
          </w:p>
          <w:p w:rsidR="00B97405" w:rsidRPr="00051CF4" w:rsidRDefault="00B97405" w:rsidP="002C5517">
            <w:pPr>
              <w:pStyle w:val="Corpsdetexte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3" w:type="dxa"/>
          </w:tcPr>
          <w:p w:rsidR="002C5517" w:rsidRPr="00051CF4" w:rsidRDefault="002C5517" w:rsidP="002C5517">
            <w:pPr>
              <w:pStyle w:val="Corpsdetexte"/>
              <w:tabs>
                <w:tab w:val="right" w:pos="8789"/>
              </w:tabs>
              <w:rPr>
                <w:rFonts w:ascii="Calibri" w:hAnsi="Calibri"/>
                <w:b/>
                <w:sz w:val="20"/>
              </w:rPr>
            </w:pPr>
            <w:r w:rsidRPr="00051CF4">
              <w:rPr>
                <w:rFonts w:ascii="Calibri" w:hAnsi="Calibri"/>
                <w:b/>
                <w:sz w:val="20"/>
              </w:rPr>
              <w:t xml:space="preserve">Soledad </w:t>
            </w:r>
            <w:proofErr w:type="spellStart"/>
            <w:r w:rsidRPr="00051CF4">
              <w:rPr>
                <w:rFonts w:ascii="Calibri" w:hAnsi="Calibri"/>
                <w:b/>
                <w:sz w:val="20"/>
              </w:rPr>
              <w:t>Margareto</w:t>
            </w:r>
            <w:proofErr w:type="spellEnd"/>
          </w:p>
          <w:p w:rsidR="002C5517" w:rsidRDefault="00693FC7" w:rsidP="002C5517">
            <w:pPr>
              <w:pStyle w:val="Corpsdetexte"/>
              <w:tabs>
                <w:tab w:val="right" w:pos="8789"/>
              </w:tabs>
            </w:pPr>
            <w:hyperlink r:id="rId9" w:history="1">
              <w:r w:rsidR="00B97405" w:rsidRPr="0092543C">
                <w:rPr>
                  <w:rStyle w:val="Lienhypertexte"/>
                </w:rPr>
                <w:t>soledadmargareto@gmail.com</w:t>
              </w:r>
            </w:hyperlink>
          </w:p>
          <w:p w:rsidR="00B97405" w:rsidRPr="00051CF4" w:rsidRDefault="00B97405" w:rsidP="002C5517">
            <w:pPr>
              <w:pStyle w:val="Corpsdetexte"/>
              <w:tabs>
                <w:tab w:val="right" w:pos="8789"/>
              </w:tabs>
              <w:rPr>
                <w:rFonts w:ascii="Calibri" w:hAnsi="Calibri"/>
                <w:b/>
                <w:sz w:val="20"/>
              </w:rPr>
            </w:pPr>
          </w:p>
        </w:tc>
      </w:tr>
    </w:tbl>
    <w:p w:rsidR="002C5517" w:rsidRPr="00051CF4" w:rsidRDefault="002C5517" w:rsidP="002C5517">
      <w:pPr>
        <w:pStyle w:val="Corpsdetexte"/>
        <w:rPr>
          <w:rFonts w:ascii="Calibri" w:hAnsi="Calibri"/>
          <w:b/>
          <w:sz w:val="20"/>
        </w:rPr>
      </w:pPr>
    </w:p>
    <w:sectPr w:rsidR="002C5517" w:rsidRPr="00051CF4" w:rsidSect="002C5517">
      <w:headerReference w:type="default" r:id="rId10"/>
      <w:footerReference w:type="default" r:id="rId11"/>
      <w:pgSz w:w="11906" w:h="16838" w:code="9"/>
      <w:pgMar w:top="1418" w:right="1418" w:bottom="1276" w:left="851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FC7" w:rsidRDefault="00693FC7">
      <w:r>
        <w:separator/>
      </w:r>
    </w:p>
  </w:endnote>
  <w:endnote w:type="continuationSeparator" w:id="0">
    <w:p w:rsidR="00693FC7" w:rsidRDefault="0069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E75" w:rsidRDefault="00382E75">
    <w:pPr>
      <w:pStyle w:val="Pieddepage"/>
      <w:tabs>
        <w:tab w:val="clear" w:pos="9072"/>
        <w:tab w:val="right" w:pos="9781"/>
      </w:tabs>
      <w:rPr>
        <w:b/>
      </w:rPr>
    </w:pPr>
    <w:r>
      <w:tab/>
    </w:r>
    <w:r>
      <w:tab/>
    </w:r>
    <w:r w:rsidRPr="00375C4B">
      <w:rPr>
        <w:rStyle w:val="Numrodepage"/>
        <w:b/>
      </w:rPr>
      <w:t xml:space="preserve">Page </w:t>
    </w:r>
    <w:r w:rsidRPr="00375C4B">
      <w:rPr>
        <w:rStyle w:val="Numrodepage"/>
        <w:b/>
      </w:rPr>
      <w:fldChar w:fldCharType="begin"/>
    </w:r>
    <w:r w:rsidRPr="00375C4B">
      <w:rPr>
        <w:rStyle w:val="Numrodepage"/>
        <w:b/>
      </w:rPr>
      <w:instrText xml:space="preserve"> </w:instrText>
    </w:r>
    <w:r>
      <w:rPr>
        <w:rStyle w:val="Numrodepage"/>
        <w:b/>
      </w:rPr>
      <w:instrText>PAGE</w:instrText>
    </w:r>
    <w:r w:rsidRPr="00375C4B">
      <w:rPr>
        <w:rStyle w:val="Numrodepage"/>
        <w:b/>
      </w:rPr>
      <w:instrText xml:space="preserve"> </w:instrText>
    </w:r>
    <w:r w:rsidRPr="00375C4B">
      <w:rPr>
        <w:rStyle w:val="Numrodepage"/>
        <w:b/>
      </w:rPr>
      <w:fldChar w:fldCharType="separate"/>
    </w:r>
    <w:r w:rsidR="004E5F1F">
      <w:rPr>
        <w:rStyle w:val="Numrodepage"/>
        <w:b/>
        <w:noProof/>
      </w:rPr>
      <w:t>3</w:t>
    </w:r>
    <w:r w:rsidRPr="00375C4B">
      <w:rPr>
        <w:rStyle w:val="Numrodepage"/>
        <w:b/>
      </w:rPr>
      <w:fldChar w:fldCharType="end"/>
    </w:r>
    <w:r w:rsidRPr="00375C4B">
      <w:rPr>
        <w:rStyle w:val="Numrodepage"/>
        <w:b/>
      </w:rPr>
      <w:t xml:space="preserve"> sur </w:t>
    </w:r>
    <w:r w:rsidRPr="00375C4B">
      <w:rPr>
        <w:rStyle w:val="Numrodepage"/>
        <w:b/>
      </w:rPr>
      <w:fldChar w:fldCharType="begin"/>
    </w:r>
    <w:r w:rsidRPr="00375C4B">
      <w:rPr>
        <w:rStyle w:val="Numrodepage"/>
        <w:b/>
      </w:rPr>
      <w:instrText xml:space="preserve"> </w:instrText>
    </w:r>
    <w:r>
      <w:rPr>
        <w:rStyle w:val="Numrodepage"/>
        <w:b/>
      </w:rPr>
      <w:instrText>NUMPAGES</w:instrText>
    </w:r>
    <w:r w:rsidRPr="00375C4B">
      <w:rPr>
        <w:rStyle w:val="Numrodepage"/>
        <w:b/>
      </w:rPr>
      <w:instrText xml:space="preserve"> </w:instrText>
    </w:r>
    <w:r w:rsidRPr="00375C4B">
      <w:rPr>
        <w:rStyle w:val="Numrodepage"/>
        <w:b/>
      </w:rPr>
      <w:fldChar w:fldCharType="separate"/>
    </w:r>
    <w:r w:rsidR="004E5F1F">
      <w:rPr>
        <w:rStyle w:val="Numrodepage"/>
        <w:b/>
        <w:noProof/>
      </w:rPr>
      <w:t>3</w:t>
    </w:r>
    <w:r w:rsidRPr="00375C4B">
      <w:rPr>
        <w:rStyle w:val="Numrodepage"/>
        <w:b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FC7" w:rsidRDefault="00693FC7">
      <w:r>
        <w:separator/>
      </w:r>
    </w:p>
  </w:footnote>
  <w:footnote w:type="continuationSeparator" w:id="0">
    <w:p w:rsidR="00693FC7" w:rsidRDefault="00693F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E75" w:rsidRPr="002B3914" w:rsidRDefault="00382E75" w:rsidP="002C5517">
    <w:pPr>
      <w:pStyle w:val="En-tte"/>
      <w:pBdr>
        <w:top w:val="single" w:sz="4" w:space="2" w:color="333399"/>
        <w:left w:val="single" w:sz="4" w:space="3" w:color="333399"/>
        <w:bottom w:val="single" w:sz="4" w:space="1" w:color="333399"/>
        <w:right w:val="single" w:sz="4" w:space="3" w:color="333399"/>
      </w:pBdr>
      <w:rPr>
        <w:rFonts w:ascii="Arial" w:hAnsi="Arial" w:cs="Arial"/>
        <w:b/>
        <w:i/>
        <w:color w:val="333399"/>
      </w:rPr>
    </w:pPr>
    <w:r>
      <w:rPr>
        <w:rFonts w:ascii="Arial" w:hAnsi="Arial" w:cs="Arial"/>
        <w:b/>
        <w:i/>
        <w:color w:val="333399"/>
      </w:rPr>
      <w:t>F</w:t>
    </w:r>
    <w:r w:rsidRPr="002B3914">
      <w:rPr>
        <w:rFonts w:ascii="Arial" w:hAnsi="Arial" w:cs="Arial"/>
        <w:b/>
        <w:i/>
        <w:color w:val="333399"/>
      </w:rPr>
      <w:t xml:space="preserve">rançais du monde - </w:t>
    </w:r>
    <w:proofErr w:type="spellStart"/>
    <w:r w:rsidRPr="002B3914">
      <w:rPr>
        <w:rFonts w:ascii="Arial" w:hAnsi="Arial" w:cs="Arial"/>
        <w:b/>
        <w:i/>
        <w:color w:val="333399"/>
      </w:rPr>
      <w:t>adfe</w:t>
    </w:r>
    <w:proofErr w:type="spellEnd"/>
    <w:r w:rsidRPr="00B30E8C">
      <w:rPr>
        <w:rFonts w:ascii="Arial" w:hAnsi="Arial" w:cs="Arial"/>
        <w:b/>
        <w:i/>
        <w:color w:val="333399"/>
        <w:sz w:val="22"/>
      </w:rPr>
      <w:tab/>
    </w:r>
    <w:r w:rsidRPr="00026B13">
      <w:rPr>
        <w:rFonts w:ascii="Arial" w:hAnsi="Arial" w:cs="Arial"/>
        <w:b/>
        <w:color w:val="333399"/>
        <w:sz w:val="28"/>
        <w:szCs w:val="28"/>
      </w:rPr>
      <w:t>Bourses  Scolaires</w:t>
    </w:r>
    <w:r w:rsidRPr="00B30E8C">
      <w:rPr>
        <w:rFonts w:ascii="Arial" w:hAnsi="Arial" w:cs="Arial"/>
        <w:b/>
        <w:i/>
        <w:color w:val="333399"/>
        <w:sz w:val="22"/>
      </w:rPr>
      <w:tab/>
    </w:r>
    <w:r>
      <w:rPr>
        <w:rFonts w:ascii="Arial" w:hAnsi="Arial" w:cs="Arial"/>
        <w:b/>
        <w:i/>
        <w:color w:val="333399"/>
      </w:rPr>
      <w:t xml:space="preserve">Juin </w:t>
    </w:r>
    <w:r w:rsidRPr="002B3914">
      <w:rPr>
        <w:rFonts w:ascii="Arial" w:hAnsi="Arial" w:cs="Arial"/>
        <w:b/>
        <w:i/>
        <w:color w:val="333399"/>
      </w:rPr>
      <w:t xml:space="preserve"> 20</w:t>
    </w:r>
    <w:r>
      <w:rPr>
        <w:rFonts w:ascii="Arial" w:hAnsi="Arial" w:cs="Arial"/>
        <w:b/>
        <w:i/>
        <w:color w:val="333399"/>
      </w:rPr>
      <w:t>12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D7FF7"/>
    <w:multiLevelType w:val="hybridMultilevel"/>
    <w:tmpl w:val="5266A830"/>
    <w:lvl w:ilvl="0" w:tplc="C7824E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F655D"/>
    <w:multiLevelType w:val="hybridMultilevel"/>
    <w:tmpl w:val="BE903162"/>
    <w:lvl w:ilvl="0" w:tplc="C7824EDA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92A7933"/>
    <w:multiLevelType w:val="hybridMultilevel"/>
    <w:tmpl w:val="AF02802A"/>
    <w:lvl w:ilvl="0" w:tplc="701E96C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397E82"/>
    <w:multiLevelType w:val="hybridMultilevel"/>
    <w:tmpl w:val="419C74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F24A2"/>
    <w:multiLevelType w:val="hybridMultilevel"/>
    <w:tmpl w:val="08F01ED4"/>
    <w:lvl w:ilvl="0" w:tplc="C7824E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8C2DEB"/>
    <w:multiLevelType w:val="hybridMultilevel"/>
    <w:tmpl w:val="76FC1D8C"/>
    <w:lvl w:ilvl="0" w:tplc="C7824E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350677"/>
    <w:multiLevelType w:val="hybridMultilevel"/>
    <w:tmpl w:val="590A6FB4"/>
    <w:lvl w:ilvl="0" w:tplc="C7824E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D11FD"/>
    <w:multiLevelType w:val="hybridMultilevel"/>
    <w:tmpl w:val="7534D61E"/>
    <w:lvl w:ilvl="0" w:tplc="C7824E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8A339E"/>
    <w:multiLevelType w:val="hybridMultilevel"/>
    <w:tmpl w:val="06EA9368"/>
    <w:lvl w:ilvl="0" w:tplc="C7824E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F30900"/>
    <w:multiLevelType w:val="hybridMultilevel"/>
    <w:tmpl w:val="EC2616D6"/>
    <w:lvl w:ilvl="0" w:tplc="C7824ED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3C"/>
    <w:rsid w:val="00066354"/>
    <w:rsid w:val="00204829"/>
    <w:rsid w:val="00260BBB"/>
    <w:rsid w:val="002C5517"/>
    <w:rsid w:val="002D633C"/>
    <w:rsid w:val="003554FE"/>
    <w:rsid w:val="00382E75"/>
    <w:rsid w:val="00420B1D"/>
    <w:rsid w:val="004855C5"/>
    <w:rsid w:val="004A56BB"/>
    <w:rsid w:val="004E5F1F"/>
    <w:rsid w:val="004F7054"/>
    <w:rsid w:val="00561571"/>
    <w:rsid w:val="0056301F"/>
    <w:rsid w:val="00645B56"/>
    <w:rsid w:val="00693FC7"/>
    <w:rsid w:val="006C6929"/>
    <w:rsid w:val="006E7261"/>
    <w:rsid w:val="00737559"/>
    <w:rsid w:val="00762CE5"/>
    <w:rsid w:val="007B014D"/>
    <w:rsid w:val="007E1BB2"/>
    <w:rsid w:val="008A4986"/>
    <w:rsid w:val="009024C5"/>
    <w:rsid w:val="00930732"/>
    <w:rsid w:val="00960531"/>
    <w:rsid w:val="00A04194"/>
    <w:rsid w:val="00A41824"/>
    <w:rsid w:val="00A846D7"/>
    <w:rsid w:val="00B3527B"/>
    <w:rsid w:val="00B40194"/>
    <w:rsid w:val="00B467D2"/>
    <w:rsid w:val="00B55523"/>
    <w:rsid w:val="00B97405"/>
    <w:rsid w:val="00BE3B9F"/>
    <w:rsid w:val="00C17132"/>
    <w:rsid w:val="00C8781C"/>
    <w:rsid w:val="00D658AF"/>
    <w:rsid w:val="00D86420"/>
    <w:rsid w:val="00EB3945"/>
    <w:rsid w:val="00FE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7EC9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i/>
      <w:sz w:val="24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2"/>
    </w:rPr>
  </w:style>
  <w:style w:type="paragraph" w:styleId="Titre4">
    <w:name w:val="heading 4"/>
    <w:basedOn w:val="Normal"/>
    <w:next w:val="Normal"/>
    <w:qFormat/>
    <w:pPr>
      <w:keepNext/>
      <w:ind w:hanging="284"/>
      <w:jc w:val="both"/>
      <w:outlineLvl w:val="3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24"/>
    </w:rPr>
  </w:style>
  <w:style w:type="paragraph" w:styleId="Corpsdetexte">
    <w:name w:val="Body Text"/>
    <w:basedOn w:val="Normal"/>
    <w:pPr>
      <w:jc w:val="both"/>
    </w:pPr>
    <w:rPr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Retraitcorpsdetexte">
    <w:name w:val="Body Text Indent"/>
    <w:basedOn w:val="Normal"/>
    <w:pPr>
      <w:ind w:hanging="284"/>
      <w:jc w:val="both"/>
    </w:pPr>
    <w:rPr>
      <w:b/>
      <w:sz w:val="24"/>
    </w:rPr>
  </w:style>
  <w:style w:type="paragraph" w:styleId="Retraitcorpsdetexte2">
    <w:name w:val="Body Text Indent 2"/>
    <w:basedOn w:val="Normal"/>
    <w:pPr>
      <w:ind w:left="426" w:hanging="426"/>
      <w:jc w:val="both"/>
    </w:pPr>
    <w:rPr>
      <w:sz w:val="24"/>
    </w:rPr>
  </w:style>
  <w:style w:type="paragraph" w:styleId="Corpsdetexte2">
    <w:name w:val="Body Text 2"/>
    <w:basedOn w:val="Normal"/>
    <w:pPr>
      <w:jc w:val="both"/>
    </w:pPr>
    <w:rPr>
      <w:sz w:val="22"/>
    </w:rPr>
  </w:style>
  <w:style w:type="paragraph" w:styleId="Corpsdetexte3">
    <w:name w:val="Body Text 3"/>
    <w:basedOn w:val="Normal"/>
    <w:pPr>
      <w:jc w:val="center"/>
    </w:pPr>
    <w:rPr>
      <w:sz w:val="22"/>
    </w:rPr>
  </w:style>
  <w:style w:type="paragraph" w:styleId="Retraitcorpsdetexte3">
    <w:name w:val="Body Text Indent 3"/>
    <w:basedOn w:val="Normal"/>
    <w:pPr>
      <w:ind w:left="284"/>
      <w:jc w:val="both"/>
    </w:pPr>
    <w:rPr>
      <w:sz w:val="22"/>
    </w:rPr>
  </w:style>
  <w:style w:type="paragraph" w:styleId="Textedebulles">
    <w:name w:val="Balloon Text"/>
    <w:basedOn w:val="Normal"/>
    <w:semiHidden/>
    <w:rsid w:val="0064073E"/>
    <w:rPr>
      <w:rFonts w:ascii="Tahoma" w:hAnsi="Tahoma" w:cs="Tahoma"/>
      <w:sz w:val="16"/>
      <w:szCs w:val="16"/>
    </w:rPr>
  </w:style>
  <w:style w:type="character" w:styleId="Lienhypertexte">
    <w:name w:val="Hyperlink"/>
    <w:rsid w:val="002E2EA4"/>
    <w:rPr>
      <w:color w:val="0000FF"/>
      <w:u w:val="single"/>
    </w:rPr>
  </w:style>
  <w:style w:type="character" w:styleId="Lienhypertextesuivi">
    <w:name w:val="FollowedHyperlink"/>
    <w:rsid w:val="00E3106B"/>
    <w:rPr>
      <w:color w:val="800080"/>
      <w:u w:val="single"/>
    </w:rPr>
  </w:style>
  <w:style w:type="table" w:styleId="Grille">
    <w:name w:val="Table Grid"/>
    <w:basedOn w:val="TableauNormal"/>
    <w:rsid w:val="003279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notedefin">
    <w:name w:val="endnote reference"/>
    <w:rsid w:val="007827DB"/>
    <w:rPr>
      <w:b/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i/>
      <w:sz w:val="24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2"/>
    </w:rPr>
  </w:style>
  <w:style w:type="paragraph" w:styleId="Titre4">
    <w:name w:val="heading 4"/>
    <w:basedOn w:val="Normal"/>
    <w:next w:val="Normal"/>
    <w:qFormat/>
    <w:pPr>
      <w:keepNext/>
      <w:ind w:hanging="284"/>
      <w:jc w:val="both"/>
      <w:outlineLvl w:val="3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24"/>
    </w:rPr>
  </w:style>
  <w:style w:type="paragraph" w:styleId="Corpsdetexte">
    <w:name w:val="Body Text"/>
    <w:basedOn w:val="Normal"/>
    <w:pPr>
      <w:jc w:val="both"/>
    </w:pPr>
    <w:rPr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Retraitcorpsdetexte">
    <w:name w:val="Body Text Indent"/>
    <w:basedOn w:val="Normal"/>
    <w:pPr>
      <w:ind w:hanging="284"/>
      <w:jc w:val="both"/>
    </w:pPr>
    <w:rPr>
      <w:b/>
      <w:sz w:val="24"/>
    </w:rPr>
  </w:style>
  <w:style w:type="paragraph" w:styleId="Retraitcorpsdetexte2">
    <w:name w:val="Body Text Indent 2"/>
    <w:basedOn w:val="Normal"/>
    <w:pPr>
      <w:ind w:left="426" w:hanging="426"/>
      <w:jc w:val="both"/>
    </w:pPr>
    <w:rPr>
      <w:sz w:val="24"/>
    </w:rPr>
  </w:style>
  <w:style w:type="paragraph" w:styleId="Corpsdetexte2">
    <w:name w:val="Body Text 2"/>
    <w:basedOn w:val="Normal"/>
    <w:pPr>
      <w:jc w:val="both"/>
    </w:pPr>
    <w:rPr>
      <w:sz w:val="22"/>
    </w:rPr>
  </w:style>
  <w:style w:type="paragraph" w:styleId="Corpsdetexte3">
    <w:name w:val="Body Text 3"/>
    <w:basedOn w:val="Normal"/>
    <w:pPr>
      <w:jc w:val="center"/>
    </w:pPr>
    <w:rPr>
      <w:sz w:val="22"/>
    </w:rPr>
  </w:style>
  <w:style w:type="paragraph" w:styleId="Retraitcorpsdetexte3">
    <w:name w:val="Body Text Indent 3"/>
    <w:basedOn w:val="Normal"/>
    <w:pPr>
      <w:ind w:left="284"/>
      <w:jc w:val="both"/>
    </w:pPr>
    <w:rPr>
      <w:sz w:val="22"/>
    </w:rPr>
  </w:style>
  <w:style w:type="paragraph" w:styleId="Textedebulles">
    <w:name w:val="Balloon Text"/>
    <w:basedOn w:val="Normal"/>
    <w:semiHidden/>
    <w:rsid w:val="0064073E"/>
    <w:rPr>
      <w:rFonts w:ascii="Tahoma" w:hAnsi="Tahoma" w:cs="Tahoma"/>
      <w:sz w:val="16"/>
      <w:szCs w:val="16"/>
    </w:rPr>
  </w:style>
  <w:style w:type="character" w:styleId="Lienhypertexte">
    <w:name w:val="Hyperlink"/>
    <w:rsid w:val="002E2EA4"/>
    <w:rPr>
      <w:color w:val="0000FF"/>
      <w:u w:val="single"/>
    </w:rPr>
  </w:style>
  <w:style w:type="character" w:styleId="Lienhypertextesuivi">
    <w:name w:val="FollowedHyperlink"/>
    <w:rsid w:val="00E3106B"/>
    <w:rPr>
      <w:color w:val="800080"/>
      <w:u w:val="single"/>
    </w:rPr>
  </w:style>
  <w:style w:type="table" w:styleId="Grille">
    <w:name w:val="Table Grid"/>
    <w:basedOn w:val="TableauNormal"/>
    <w:rsid w:val="003279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notedefin">
    <w:name w:val="endnote reference"/>
    <w:rsid w:val="007827DB"/>
    <w:rPr>
      <w:b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33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14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1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7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59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774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71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048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955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660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51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475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376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544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3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85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577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0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51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8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22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90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87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929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20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13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02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00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0882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9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2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5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1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9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12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64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2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7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98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90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62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45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0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63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679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5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41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51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6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394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85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75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4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60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6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1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7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1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40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6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1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078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68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67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9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0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57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35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8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38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016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9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8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641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34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71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244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99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0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267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028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49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63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70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4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6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3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8290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922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1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48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3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4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41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45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13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16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05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6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44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2075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767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941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0847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58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252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4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6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8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0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0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0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66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033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1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83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18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86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33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409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8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198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1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1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3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4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2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28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6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70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4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7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78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64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6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963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922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5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8004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8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7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75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976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69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442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4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05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15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76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1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6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13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421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6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3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ichele.bloch@adfe.org" TargetMode="External"/><Relationship Id="rId9" Type="http://schemas.openxmlformats.org/officeDocument/2006/relationships/hyperlink" Target="mailto:soledadmargareto@gmail.com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1305</Words>
  <Characters>7178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Commission nationale des bourses scolaires</vt:lpstr>
    </vt:vector>
  </TitlesOfParts>
  <Company>ADFE</Company>
  <LinksUpToDate>false</LinksUpToDate>
  <CharactersWithSpaces>8467</CharactersWithSpaces>
  <SharedDoc>false</SharedDoc>
  <HLinks>
    <vt:vector size="12" baseType="variant">
      <vt:variant>
        <vt:i4>1966141</vt:i4>
      </vt:variant>
      <vt:variant>
        <vt:i4>3</vt:i4>
      </vt:variant>
      <vt:variant>
        <vt:i4>0</vt:i4>
      </vt:variant>
      <vt:variant>
        <vt:i4>5</vt:i4>
      </vt:variant>
      <vt:variant>
        <vt:lpwstr>mailto:andrecadot@yahoo.fr</vt:lpwstr>
      </vt:variant>
      <vt:variant>
        <vt:lpwstr/>
      </vt:variant>
      <vt:variant>
        <vt:i4>917607</vt:i4>
      </vt:variant>
      <vt:variant>
        <vt:i4>0</vt:i4>
      </vt:variant>
      <vt:variant>
        <vt:i4>0</vt:i4>
      </vt:variant>
      <vt:variant>
        <vt:i4>5</vt:i4>
      </vt:variant>
      <vt:variant>
        <vt:lpwstr>mailto:k.colombant@yahoo.com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nationale des bourses scolaires</dc:title>
  <dc:subject/>
  <dc:creator>Bureau3</dc:creator>
  <cp:keywords/>
  <dc:description/>
  <cp:lastModifiedBy>Michèle Bloch</cp:lastModifiedBy>
  <cp:revision>2</cp:revision>
  <cp:lastPrinted>2010-12-16T18:45:00Z</cp:lastPrinted>
  <dcterms:created xsi:type="dcterms:W3CDTF">2012-06-26T08:22:00Z</dcterms:created>
  <dcterms:modified xsi:type="dcterms:W3CDTF">2012-06-26T08:22:00Z</dcterms:modified>
</cp:coreProperties>
</file>